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81454" w14:textId="486AA1B3" w:rsidR="003937E8" w:rsidRDefault="003937E8" w:rsidP="003937E8">
      <w:pPr>
        <w:pStyle w:val="Header"/>
        <w:keepLines/>
        <w:tabs>
          <w:tab w:val="left" w:pos="5956"/>
          <w:tab w:val="right" w:pos="10440"/>
          <w:tab w:val="right" w:pos="13323"/>
        </w:tabs>
        <w:spacing w:before="60" w:after="60"/>
        <w:rPr>
          <w:rFonts w:ascii="Arial" w:eastAsia="SimSun" w:hAnsi="Arial" w:cs="Arial"/>
          <w:b/>
          <w:sz w:val="24"/>
          <w:szCs w:val="24"/>
          <w:lang w:eastAsia="zh-CN"/>
        </w:rPr>
      </w:pPr>
      <w:bookmarkStart w:id="0" w:name="Title"/>
      <w:bookmarkStart w:id="1" w:name="DocumentFor"/>
      <w:bookmarkStart w:id="2" w:name="OLE_LINK5"/>
      <w:bookmarkStart w:id="3" w:name="OLE_LINK6"/>
      <w:bookmarkEnd w:id="0"/>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107</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CF2E83" w:rsidRPr="00CF2E83">
        <w:rPr>
          <w:rFonts w:ascii="Arial" w:hAnsi="Arial" w:cs="Arial"/>
          <w:b/>
          <w:sz w:val="24"/>
          <w:szCs w:val="24"/>
        </w:rPr>
        <w:t>R4-2307130</w:t>
      </w:r>
    </w:p>
    <w:p w14:paraId="5300D95E" w14:textId="77777777" w:rsidR="003937E8" w:rsidRDefault="003937E8" w:rsidP="003937E8">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Incheon, KR, May 22 – May 26, 2023</w:t>
      </w:r>
    </w:p>
    <w:bookmarkEnd w:id="2"/>
    <w:bookmarkEnd w:id="3"/>
    <w:p w14:paraId="05807072" w14:textId="77777777" w:rsidR="00A22B33" w:rsidRPr="00BE3CA8" w:rsidRDefault="00A22B33" w:rsidP="00A22B3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B66887A" w14:textId="77777777" w:rsidR="00A22B33" w:rsidRPr="00BE3CA8" w:rsidRDefault="00A22B33" w:rsidP="00A22B33">
      <w:pPr>
        <w:tabs>
          <w:tab w:val="left" w:pos="1985"/>
        </w:tabs>
        <w:ind w:left="1985" w:hanging="1985"/>
        <w:rPr>
          <w:rFonts w:ascii="Arial" w:eastAsia="Calibri" w:hAnsi="Arial" w:cs="Arial"/>
          <w:b/>
          <w:bCs/>
          <w:sz w:val="24"/>
        </w:rPr>
      </w:pPr>
      <w:r w:rsidRPr="00BE3CA8">
        <w:rPr>
          <w:rFonts w:ascii="Arial" w:eastAsia="Calibri" w:hAnsi="Arial" w:cs="Arial"/>
          <w:b/>
          <w:bCs/>
          <w:sz w:val="24"/>
        </w:rPr>
        <w:t>Source:</w:t>
      </w:r>
      <w:r w:rsidRPr="00BE3CA8">
        <w:rPr>
          <w:rFonts w:ascii="Arial" w:eastAsia="Calibri" w:hAnsi="Arial" w:cs="Arial"/>
          <w:b/>
          <w:bCs/>
          <w:sz w:val="24"/>
        </w:rPr>
        <w:tab/>
        <w:t>Nokia, Nokia Shanghai Bell</w:t>
      </w:r>
    </w:p>
    <w:p w14:paraId="178E799A" w14:textId="77777777" w:rsidR="00A22B33" w:rsidRPr="00BE3CA8" w:rsidRDefault="00A22B33" w:rsidP="00A22B33">
      <w:pPr>
        <w:ind w:left="1985" w:hanging="1985"/>
        <w:rPr>
          <w:rFonts w:ascii="Arial" w:eastAsia="Calibri" w:hAnsi="Arial" w:cs="Arial"/>
          <w:b/>
          <w:bCs/>
          <w:sz w:val="24"/>
        </w:rPr>
      </w:pPr>
      <w:r w:rsidRPr="00BE3CA8">
        <w:rPr>
          <w:rFonts w:ascii="Arial" w:eastAsia="Calibri" w:hAnsi="Arial" w:cs="Arial"/>
          <w:b/>
          <w:bCs/>
          <w:sz w:val="24"/>
        </w:rPr>
        <w:t>Title:</w:t>
      </w:r>
      <w:r w:rsidRPr="00BE3CA8">
        <w:rPr>
          <w:rFonts w:ascii="Arial" w:eastAsia="Calibri" w:hAnsi="Arial" w:cs="Arial"/>
          <w:b/>
          <w:bCs/>
          <w:sz w:val="24"/>
        </w:rPr>
        <w:tab/>
      </w:r>
      <w:r>
        <w:rPr>
          <w:rFonts w:ascii="Arial" w:eastAsia="Calibri" w:hAnsi="Arial" w:cs="Arial"/>
          <w:b/>
          <w:bCs/>
          <w:sz w:val="24"/>
        </w:rPr>
        <w:t xml:space="preserve">On </w:t>
      </w:r>
      <w:proofErr w:type="spellStart"/>
      <w:r>
        <w:rPr>
          <w:rFonts w:ascii="Arial" w:eastAsia="Calibri" w:hAnsi="Arial" w:cs="Arial"/>
          <w:b/>
          <w:bCs/>
          <w:sz w:val="24"/>
        </w:rPr>
        <w:t>MultiRx</w:t>
      </w:r>
      <w:proofErr w:type="spellEnd"/>
      <w:r>
        <w:rPr>
          <w:rFonts w:ascii="Arial" w:eastAsia="Calibri" w:hAnsi="Arial" w:cs="Arial"/>
          <w:b/>
          <w:bCs/>
          <w:sz w:val="24"/>
        </w:rPr>
        <w:t xml:space="preserve"> RLM and BFD/CBD requirements</w:t>
      </w:r>
    </w:p>
    <w:p w14:paraId="4FDBD526" w14:textId="2DDFEEBF" w:rsidR="00A22B33" w:rsidRPr="00BE3CA8" w:rsidRDefault="00A22B33" w:rsidP="00A22B33">
      <w:pPr>
        <w:tabs>
          <w:tab w:val="left" w:pos="1985"/>
        </w:tabs>
        <w:spacing w:after="120" w:line="240" w:lineRule="auto"/>
        <w:rPr>
          <w:rFonts w:ascii="Arial" w:eastAsia="MS Mincho" w:hAnsi="Arial" w:cs="Arial"/>
          <w:b/>
          <w:bCs/>
          <w:sz w:val="24"/>
          <w:szCs w:val="20"/>
        </w:rPr>
      </w:pPr>
      <w:r w:rsidRPr="00BE3CA8">
        <w:rPr>
          <w:rFonts w:ascii="Arial" w:eastAsia="MS Mincho" w:hAnsi="Arial" w:cs="Arial"/>
          <w:b/>
          <w:bCs/>
          <w:sz w:val="24"/>
          <w:szCs w:val="20"/>
        </w:rPr>
        <w:t>Agenda item:</w:t>
      </w:r>
      <w:r w:rsidRPr="00BE3CA8">
        <w:rPr>
          <w:rFonts w:ascii="Arial" w:eastAsia="MS Mincho" w:hAnsi="Arial" w:cs="Arial"/>
          <w:b/>
          <w:bCs/>
          <w:sz w:val="24"/>
          <w:szCs w:val="20"/>
        </w:rPr>
        <w:tab/>
      </w:r>
      <w:r w:rsidR="00087D40">
        <w:rPr>
          <w:rFonts w:ascii="Arial" w:eastAsia="MS Mincho" w:hAnsi="Arial" w:cs="Arial"/>
          <w:b/>
          <w:bCs/>
          <w:sz w:val="24"/>
          <w:szCs w:val="20"/>
        </w:rPr>
        <w:t>8</w:t>
      </w:r>
      <w:r w:rsidR="0043286F" w:rsidRPr="0043286F">
        <w:rPr>
          <w:rFonts w:ascii="Arial" w:eastAsia="MS Mincho" w:hAnsi="Arial" w:cs="Arial"/>
          <w:b/>
          <w:bCs/>
          <w:sz w:val="24"/>
          <w:szCs w:val="20"/>
        </w:rPr>
        <w:t>.8.3.3</w:t>
      </w:r>
    </w:p>
    <w:p w14:paraId="3F8CE23B" w14:textId="77777777" w:rsidR="00A22B33" w:rsidRDefault="00A22B33" w:rsidP="00A22B33">
      <w:pPr>
        <w:tabs>
          <w:tab w:val="left" w:pos="1985"/>
        </w:tabs>
        <w:rPr>
          <w:rFonts w:ascii="Arial" w:eastAsia="Calibri" w:hAnsi="Arial" w:cs="Arial"/>
          <w:b/>
          <w:bCs/>
          <w:sz w:val="24"/>
        </w:rPr>
      </w:pPr>
      <w:r w:rsidRPr="00BE3CA8">
        <w:rPr>
          <w:rFonts w:ascii="Arial" w:eastAsia="Calibri" w:hAnsi="Arial" w:cs="Arial"/>
          <w:b/>
          <w:bCs/>
          <w:sz w:val="24"/>
        </w:rPr>
        <w:t>Document for:</w:t>
      </w:r>
      <w:r w:rsidRPr="00BE3CA8">
        <w:rPr>
          <w:rFonts w:ascii="Arial" w:eastAsia="Calibri" w:hAnsi="Arial" w:cs="Arial"/>
          <w:b/>
          <w:bCs/>
          <w:sz w:val="24"/>
        </w:rPr>
        <w:tab/>
        <w:t>Discussion</w:t>
      </w:r>
    </w:p>
    <w:p w14:paraId="1ACFB998" w14:textId="77777777" w:rsidR="00A22B33" w:rsidRPr="00EF698B" w:rsidRDefault="00A22B33" w:rsidP="00A22B33">
      <w:pPr>
        <w:tabs>
          <w:tab w:val="left" w:pos="1985"/>
        </w:tabs>
        <w:rPr>
          <w:rFonts w:ascii="Arial" w:eastAsia="Calibri" w:hAnsi="Arial" w:cs="Arial"/>
          <w:b/>
          <w:bCs/>
          <w:sz w:val="24"/>
        </w:rPr>
      </w:pPr>
    </w:p>
    <w:p w14:paraId="2E0FACA0" w14:textId="77777777" w:rsidR="00A22B33" w:rsidRPr="00EF698B" w:rsidRDefault="00A22B33" w:rsidP="00A22B33">
      <w:pPr>
        <w:pStyle w:val="RAN4H1"/>
        <w:rPr>
          <w:lang w:val="en-US"/>
        </w:rPr>
      </w:pPr>
      <w:bookmarkStart w:id="4" w:name="_Toc116995841"/>
      <w:r w:rsidRPr="00EF698B">
        <w:rPr>
          <w:lang w:val="en-US"/>
        </w:rPr>
        <w:t>Intro</w:t>
      </w:r>
      <w:r w:rsidRPr="00EF698B">
        <w:rPr>
          <w:rStyle w:val="RAN4H1Char"/>
          <w:lang w:val="en-US"/>
        </w:rPr>
        <w:t>ductio</w:t>
      </w:r>
      <w:r w:rsidRPr="00EF698B">
        <w:rPr>
          <w:lang w:val="en-US"/>
        </w:rPr>
        <w:t>n</w:t>
      </w:r>
      <w:bookmarkEnd w:id="4"/>
    </w:p>
    <w:p w14:paraId="13394355" w14:textId="0033EFE1" w:rsidR="005B4DBB" w:rsidRDefault="00A74329" w:rsidP="00A22B33">
      <w:pPr>
        <w:rPr>
          <w:lang w:val="en-GB"/>
        </w:rPr>
      </w:pPr>
      <w:r>
        <w:rPr>
          <w:lang w:val="en-GB"/>
        </w:rPr>
        <w:t xml:space="preserve">In </w:t>
      </w:r>
      <w:r w:rsidR="005A7A00">
        <w:rPr>
          <w:lang w:val="en-GB"/>
        </w:rPr>
        <w:t>this contribution</w:t>
      </w:r>
      <w:r>
        <w:rPr>
          <w:lang w:val="en-GB"/>
        </w:rPr>
        <w:t xml:space="preserve">, we discuss RLM and BFD/CBD requirements for multi Rx for the </w:t>
      </w:r>
      <w:r w:rsidR="00D976F4">
        <w:rPr>
          <w:lang w:val="en-GB"/>
        </w:rPr>
        <w:t>single-DCI and multi-DCI scenarios.</w:t>
      </w:r>
    </w:p>
    <w:p w14:paraId="41897456" w14:textId="53F15785" w:rsidR="00A22B33" w:rsidRDefault="00A22B33" w:rsidP="00A22B33">
      <w:pPr>
        <w:pStyle w:val="RAN4H1"/>
      </w:pPr>
      <w:bookmarkStart w:id="5" w:name="_Toc116995848"/>
      <w:r>
        <w:t>RLM requirements</w:t>
      </w:r>
    </w:p>
    <w:p w14:paraId="0109F26A" w14:textId="7F7E1D2C" w:rsidR="00A22B33" w:rsidRDefault="00A22B33" w:rsidP="00F44F49">
      <w:r>
        <w:rPr>
          <w:lang w:val="en-GB"/>
        </w:rPr>
        <w:t xml:space="preserve">In the RAN4 requirements, RLM is treated considering the procedure defined in RAN1 with the definition of measurement times and scheduling/measurement restrictions when performing RLM. One general overview of the RLM procedure is shown in </w:t>
      </w:r>
      <w:r>
        <w:rPr>
          <w:lang w:val="en-GB"/>
        </w:rPr>
        <w:fldChar w:fldCharType="begin"/>
      </w:r>
      <w:r>
        <w:rPr>
          <w:lang w:val="en-GB"/>
        </w:rPr>
        <w:instrText xml:space="preserve"> REF _Ref127086614 \h  \* MERGEFORMAT </w:instrText>
      </w:r>
      <w:r>
        <w:rPr>
          <w:lang w:val="en-GB"/>
        </w:rPr>
      </w:r>
      <w:r>
        <w:rPr>
          <w:lang w:val="en-GB"/>
        </w:rPr>
        <w:fldChar w:fldCharType="separate"/>
      </w:r>
      <w:r>
        <w:t xml:space="preserve">Figure </w:t>
      </w:r>
      <w:r>
        <w:rPr>
          <w:noProof/>
        </w:rPr>
        <w:t>1</w:t>
      </w:r>
      <w:r>
        <w:rPr>
          <w:lang w:val="en-GB"/>
        </w:rPr>
        <w:fldChar w:fldCharType="end"/>
      </w:r>
      <w:r>
        <w:rPr>
          <w:lang w:val="en-GB"/>
        </w:rPr>
        <w:t xml:space="preserve">. In this figure, the UE is configured with a set of reference signals (either SSB or CSI-RS) for performing RLM.  In case those are not configured, there are existing RAN1 rules where the reference signals are implicitly defined based on the configured TCI states for PDCCH reception. Two criteria, Qin and </w:t>
      </w:r>
      <w:proofErr w:type="spellStart"/>
      <w:r>
        <w:rPr>
          <w:lang w:val="en-GB"/>
        </w:rPr>
        <w:t>Qout</w:t>
      </w:r>
      <w:proofErr w:type="spellEnd"/>
      <w:r>
        <w:rPr>
          <w:lang w:val="en-GB"/>
        </w:rPr>
        <w:t>, are used, which are equivalent to X</w:t>
      </w:r>
      <w:r w:rsidR="0037024F">
        <w:rPr>
          <w:lang w:val="en-GB"/>
        </w:rPr>
        <w:t xml:space="preserve"> </w:t>
      </w:r>
      <w:r>
        <w:rPr>
          <w:lang w:val="en-GB"/>
        </w:rPr>
        <w:t xml:space="preserve">% PDCCH BLER for a given PDCCH configuration defined in RAN4 requirements (Table 8.1.2.1-1 and 8.1.2.1-2 in 38.133). If the counter for out-of-sync indication exceeds N310, the UE declares radio link failure, and starts monitoring the in-sync criteria. If the UE does not meet the Qin criteria within the timer T310, the UE declares radio link failure. </w:t>
      </w:r>
    </w:p>
    <w:p w14:paraId="75A57E7B" w14:textId="77777777" w:rsidR="00A22B33" w:rsidRDefault="00A22B33" w:rsidP="00A22B33">
      <w:pPr>
        <w:keepNext/>
        <w:jc w:val="center"/>
      </w:pPr>
    </w:p>
    <w:p w14:paraId="68F23ACE" w14:textId="77777777" w:rsidR="00A22B33" w:rsidRDefault="00A22B33" w:rsidP="00A22B33">
      <w:pPr>
        <w:keepNext/>
        <w:jc w:val="center"/>
      </w:pPr>
      <w:r>
        <w:rPr>
          <w:noProof/>
        </w:rPr>
        <w:drawing>
          <wp:inline distT="0" distB="0" distL="0" distR="0" wp14:anchorId="0BEF1B3C" wp14:editId="7B2DCAA8">
            <wp:extent cx="2859806" cy="35941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5399" cy="3626264"/>
                    </a:xfrm>
                    <a:prstGeom prst="rect">
                      <a:avLst/>
                    </a:prstGeom>
                    <a:noFill/>
                  </pic:spPr>
                </pic:pic>
              </a:graphicData>
            </a:graphic>
          </wp:inline>
        </w:drawing>
      </w:r>
    </w:p>
    <w:p w14:paraId="2FC6DB76" w14:textId="77777777" w:rsidR="00A22B33" w:rsidRDefault="00A22B33" w:rsidP="00A22B33">
      <w:pPr>
        <w:pStyle w:val="Caption"/>
        <w:rPr>
          <w:lang w:val="en-GB"/>
        </w:rPr>
      </w:pPr>
      <w:bookmarkStart w:id="6" w:name="_Ref127086614"/>
      <w:r>
        <w:t xml:space="preserve">Figure </w:t>
      </w:r>
      <w:fldSimple w:instr=" SEQ Figure \* ARABIC ">
        <w:r>
          <w:rPr>
            <w:noProof/>
          </w:rPr>
          <w:t>1</w:t>
        </w:r>
      </w:fldSimple>
      <w:bookmarkEnd w:id="6"/>
      <w:r>
        <w:t xml:space="preserve"> Single TRP diagram of RLM procedure</w:t>
      </w:r>
    </w:p>
    <w:p w14:paraId="7ADE038C" w14:textId="0A9D7503" w:rsidR="00A22B33" w:rsidRPr="00743455" w:rsidRDefault="00A22B33" w:rsidP="00A22B33">
      <w:pPr>
        <w:rPr>
          <w:lang w:val="en-GB"/>
        </w:rPr>
      </w:pPr>
      <w:r>
        <w:rPr>
          <w:lang w:val="en-GB"/>
        </w:rPr>
        <w:lastRenderedPageBreak/>
        <w:t xml:space="preserve">One important consideration about RLM is that it monitors the UE capability of receiving PDCCH. In that case, the different scenarios that are considered for multi Rx UEs have to be considered. </w:t>
      </w:r>
      <w:r w:rsidRPr="00B928BB">
        <w:rPr>
          <w:lang w:val="en-GB"/>
        </w:rPr>
        <w:t>In order to analyse this scenario in this paper</w:t>
      </w:r>
      <w:r w:rsidR="00B520C5">
        <w:rPr>
          <w:lang w:val="en-GB"/>
        </w:rPr>
        <w:t xml:space="preserve"> we</w:t>
      </w:r>
      <w:r w:rsidR="00173864">
        <w:rPr>
          <w:lang w:val="en-GB"/>
        </w:rPr>
        <w:t xml:space="preserve"> evaluate the requirements for</w:t>
      </w:r>
      <w:r w:rsidRPr="00000989">
        <w:rPr>
          <w:lang w:val="en-GB"/>
        </w:rPr>
        <w:t xml:space="preserve"> the single DCI </w:t>
      </w:r>
      <w:r w:rsidR="00173864">
        <w:rPr>
          <w:lang w:val="en-GB"/>
        </w:rPr>
        <w:t xml:space="preserve">scenario </w:t>
      </w:r>
      <w:r w:rsidRPr="00B928BB">
        <w:rPr>
          <w:lang w:val="en-GB"/>
        </w:rPr>
        <w:t>with non-SFN PDCCH</w:t>
      </w:r>
      <w:r w:rsidR="005A7A00" w:rsidRPr="00B928BB">
        <w:rPr>
          <w:lang w:val="en-GB"/>
        </w:rPr>
        <w:t xml:space="preserve"> </w:t>
      </w:r>
      <w:r w:rsidRPr="00B928BB">
        <w:rPr>
          <w:lang w:val="en-GB"/>
        </w:rPr>
        <w:t>and multi-DCI</w:t>
      </w:r>
      <w:r w:rsidR="00173864">
        <w:rPr>
          <w:lang w:val="en-GB"/>
        </w:rPr>
        <w:t xml:space="preserve"> scenario</w:t>
      </w:r>
      <w:r w:rsidRPr="00B928BB">
        <w:rPr>
          <w:lang w:val="en-GB"/>
        </w:rPr>
        <w:t>.</w:t>
      </w:r>
      <w:r>
        <w:rPr>
          <w:lang w:val="en-GB"/>
        </w:rPr>
        <w:t xml:space="preserve"> </w:t>
      </w:r>
    </w:p>
    <w:p w14:paraId="323B0F37" w14:textId="77777777" w:rsidR="00A22B33" w:rsidRDefault="00A22B33" w:rsidP="00A22B33">
      <w:pPr>
        <w:pStyle w:val="RAN4observation0"/>
      </w:pPr>
      <w:bookmarkStart w:id="7" w:name="_Toc127530520"/>
      <w:bookmarkStart w:id="8" w:name="_Toc135067244"/>
      <w:r>
        <w:t>Qin/</w:t>
      </w:r>
      <w:proofErr w:type="spellStart"/>
      <w:r>
        <w:t>Qout</w:t>
      </w:r>
      <w:proofErr w:type="spellEnd"/>
      <w:r>
        <w:t xml:space="preserve"> thresholds for RLM are based on hypothetical PDCCH BLER.</w:t>
      </w:r>
      <w:bookmarkEnd w:id="7"/>
      <w:bookmarkEnd w:id="8"/>
      <w:r>
        <w:t xml:space="preserve"> </w:t>
      </w:r>
    </w:p>
    <w:p w14:paraId="1EC3867A" w14:textId="520EB529" w:rsidR="00A22B33" w:rsidRDefault="00A22B33" w:rsidP="00F00A3A">
      <w:pPr>
        <w:pStyle w:val="RAN4H3"/>
        <w:rPr>
          <w:lang w:val="en-GB"/>
        </w:rPr>
      </w:pPr>
      <w:r w:rsidRPr="002C25A2">
        <w:rPr>
          <w:lang w:val="en-GB"/>
        </w:rPr>
        <w:t>Single</w:t>
      </w:r>
      <w:r w:rsidR="002A5F24">
        <w:rPr>
          <w:lang w:val="en-GB"/>
        </w:rPr>
        <w:t>-</w:t>
      </w:r>
      <w:r w:rsidRPr="002C25A2">
        <w:rPr>
          <w:lang w:val="en-GB"/>
        </w:rPr>
        <w:t>DCI</w:t>
      </w:r>
    </w:p>
    <w:p w14:paraId="4E0AB376" w14:textId="0A7CF0E2" w:rsidR="00A22B33" w:rsidRDefault="00A22B33" w:rsidP="00A22B33">
      <w:pPr>
        <w:rPr>
          <w:lang w:val="en-GB"/>
        </w:rPr>
      </w:pPr>
      <w:r>
        <w:rPr>
          <w:lang w:val="en-GB"/>
        </w:rPr>
        <w:t xml:space="preserve">When considering the </w:t>
      </w:r>
      <w:r w:rsidR="00F00A3A">
        <w:rPr>
          <w:lang w:val="en-GB"/>
        </w:rPr>
        <w:t>s</w:t>
      </w:r>
      <w:r>
        <w:rPr>
          <w:lang w:val="en-GB"/>
        </w:rPr>
        <w:t>ingle-DCI non</w:t>
      </w:r>
      <w:r w:rsidR="005B4DBB">
        <w:rPr>
          <w:lang w:val="en-GB"/>
        </w:rPr>
        <w:t>-</w:t>
      </w:r>
      <w:r>
        <w:rPr>
          <w:lang w:val="en-GB"/>
        </w:rPr>
        <w:t>SFN PDCCH, there is only one TRP with one indicated TCI state for PDCCH, while the UE may have two simultaneous TCI states indicated for receiving PDSCH form two TRPs. In that case, it makes sense that the UE performs RLM only on that anchor TRP carrying PDCCH, since the other TRP is not monitored by the UE for PDCCH. Therefore, the baseline of the RLM requirements should apply for multi TRP as well.</w:t>
      </w:r>
    </w:p>
    <w:p w14:paraId="0B93981A" w14:textId="19EFDE71" w:rsidR="00A22B33" w:rsidRDefault="00A22B33" w:rsidP="00A22B33">
      <w:pPr>
        <w:pStyle w:val="RAN4observation0"/>
      </w:pPr>
      <w:bookmarkStart w:id="9" w:name="_Toc135067245"/>
      <w:r>
        <w:t>For single</w:t>
      </w:r>
      <w:r w:rsidR="002A5F24">
        <w:t>-</w:t>
      </w:r>
      <w:r>
        <w:t>DCI non-SFN scenario, UE performs RLM only on one anchor TRP, which is why baseline of single TRP RLM requirements should also apply for multi TRP.</w:t>
      </w:r>
      <w:bookmarkEnd w:id="9"/>
    </w:p>
    <w:p w14:paraId="7A5AB37A" w14:textId="3D7D62AC" w:rsidR="00DA1A59" w:rsidRPr="00DA1A59" w:rsidRDefault="00A42AF3" w:rsidP="00E8575E">
      <w:pPr>
        <w:pStyle w:val="RAN4proposal"/>
      </w:pPr>
      <w:bookmarkStart w:id="10" w:name="_Toc135067246"/>
      <w:r w:rsidRPr="00A42AF3">
        <w:t>For single DCI scenario, RLM is monitored only on the link with PDCCH, and legacy RLM requirement baseline applies.</w:t>
      </w:r>
      <w:bookmarkStart w:id="11" w:name="_Toc134709805"/>
      <w:bookmarkEnd w:id="10"/>
      <w:bookmarkEnd w:id="11"/>
    </w:p>
    <w:p w14:paraId="642F6D4C" w14:textId="56DE9108" w:rsidR="00A22B33" w:rsidRPr="0001176F" w:rsidRDefault="00A22B33" w:rsidP="00314BC8">
      <w:pPr>
        <w:pStyle w:val="RAN4H3"/>
        <w:rPr>
          <w:lang w:val="en-GB"/>
        </w:rPr>
      </w:pPr>
      <w:r w:rsidRPr="0001176F">
        <w:rPr>
          <w:lang w:val="en-GB"/>
        </w:rPr>
        <w:t>Multi</w:t>
      </w:r>
      <w:r w:rsidR="00314BC8">
        <w:rPr>
          <w:lang w:val="en-GB"/>
        </w:rPr>
        <w:t>-</w:t>
      </w:r>
      <w:r w:rsidRPr="0001176F">
        <w:rPr>
          <w:lang w:val="en-GB"/>
        </w:rPr>
        <w:t>DCI</w:t>
      </w:r>
    </w:p>
    <w:p w14:paraId="0A80FBC4" w14:textId="242B195A" w:rsidR="00A22B33" w:rsidRDefault="00A22B33" w:rsidP="00A22B33">
      <w:pPr>
        <w:rPr>
          <w:lang w:val="en-GB"/>
        </w:rPr>
      </w:pPr>
      <w:r>
        <w:rPr>
          <w:lang w:val="en-GB"/>
        </w:rPr>
        <w:t>One case that is not clearly covered in RAN4 specification is the case of multi</w:t>
      </w:r>
      <w:r w:rsidR="006777AD">
        <w:rPr>
          <w:lang w:val="en-GB"/>
        </w:rPr>
        <w:t>-</w:t>
      </w:r>
      <w:r>
        <w:rPr>
          <w:lang w:val="en-GB"/>
        </w:rPr>
        <w:t xml:space="preserve">DCI. The configuration of RLM </w:t>
      </w:r>
      <w:proofErr w:type="spellStart"/>
      <w:r w:rsidRPr="006777AD">
        <w:rPr>
          <w:i/>
          <w:iCs/>
          <w:lang w:val="en-GB"/>
        </w:rPr>
        <w:t>failureDetectionResources</w:t>
      </w:r>
      <w:proofErr w:type="spellEnd"/>
      <w:r>
        <w:rPr>
          <w:lang w:val="en-GB"/>
        </w:rPr>
        <w:t xml:space="preserve"> is not preventing the network to configure reference signals from </w:t>
      </w:r>
      <w:r w:rsidR="003D4C96">
        <w:rPr>
          <w:lang w:val="en-GB"/>
        </w:rPr>
        <w:t xml:space="preserve">two </w:t>
      </w:r>
      <w:r>
        <w:rPr>
          <w:lang w:val="en-GB"/>
        </w:rPr>
        <w:t>different TRPs. Additionally, from RAN1 specification it is implicit that in the case of multi</w:t>
      </w:r>
      <w:r w:rsidR="006777AD">
        <w:rPr>
          <w:lang w:val="en-GB"/>
        </w:rPr>
        <w:t>-</w:t>
      </w:r>
      <w:r>
        <w:rPr>
          <w:lang w:val="en-GB"/>
        </w:rPr>
        <w:t xml:space="preserve">DCI, if RLM resources are not configured, the RLM-RS are implicitly configured with the reference signals of the indicated TCI states for PDCCH. </w:t>
      </w:r>
    </w:p>
    <w:p w14:paraId="11474B0C" w14:textId="77777777" w:rsidR="00A22B33" w:rsidRPr="001845AB" w:rsidRDefault="00A22B33" w:rsidP="00A22B33">
      <w:pPr>
        <w:pStyle w:val="RAN4observation0"/>
      </w:pPr>
      <w:bookmarkStart w:id="12" w:name="_Toc127530522"/>
      <w:bookmarkStart w:id="13" w:name="_Toc135067247"/>
      <w:r>
        <w:t xml:space="preserve">The configuration of </w:t>
      </w:r>
      <w:proofErr w:type="spellStart"/>
      <w:r w:rsidRPr="006777AD">
        <w:rPr>
          <w:i/>
          <w:iCs/>
        </w:rPr>
        <w:t>failureDetectionResources</w:t>
      </w:r>
      <w:proofErr w:type="spellEnd"/>
      <w:r>
        <w:t xml:space="preserve"> for RLM can include reference signals from different QCL-D sources.</w:t>
      </w:r>
      <w:bookmarkEnd w:id="12"/>
      <w:bookmarkEnd w:id="13"/>
      <w:r>
        <w:t xml:space="preserve"> </w:t>
      </w:r>
    </w:p>
    <w:p w14:paraId="7716D1B7" w14:textId="77777777" w:rsidR="00A22B33" w:rsidRDefault="00A22B33" w:rsidP="00A22B33">
      <w:pPr>
        <w:pStyle w:val="RAN4observation0"/>
      </w:pPr>
      <w:bookmarkStart w:id="14" w:name="_Toc127530523"/>
      <w:bookmarkStart w:id="15" w:name="_Toc135067248"/>
      <w:r>
        <w:t xml:space="preserve">If </w:t>
      </w:r>
      <w:proofErr w:type="spellStart"/>
      <w:r w:rsidRPr="006777AD">
        <w:rPr>
          <w:i/>
          <w:iCs/>
        </w:rPr>
        <w:t>failureDetectionResources</w:t>
      </w:r>
      <w:proofErr w:type="spellEnd"/>
      <w:r>
        <w:t xml:space="preserve"> for RLM is not configured, the reference signals of the indicated TCI states for PDCCH are implicitly configured as sources for RLM-RS.</w:t>
      </w:r>
      <w:bookmarkEnd w:id="14"/>
      <w:bookmarkEnd w:id="15"/>
      <w:r>
        <w:t xml:space="preserve"> </w:t>
      </w:r>
    </w:p>
    <w:p w14:paraId="1B9DE77D" w14:textId="19E600E3" w:rsidR="003D6662" w:rsidRPr="00B43426" w:rsidRDefault="00EE2A09" w:rsidP="00E8575E">
      <w:r>
        <w:rPr>
          <w:lang w:val="en-GB"/>
        </w:rPr>
        <w:t>For out-of-sync and in-sync evaluation in multi</w:t>
      </w:r>
      <w:r w:rsidR="009178BB">
        <w:rPr>
          <w:lang w:val="en-GB"/>
        </w:rPr>
        <w:t>-</w:t>
      </w:r>
      <w:r>
        <w:rPr>
          <w:lang w:val="en-GB"/>
        </w:rPr>
        <w:t>DCI scenario the above observations mean the following:</w:t>
      </w:r>
    </w:p>
    <w:p w14:paraId="1CA657CF" w14:textId="7DEB3413" w:rsidR="00247387" w:rsidRDefault="00731426" w:rsidP="005A7A00">
      <w:proofErr w:type="spellStart"/>
      <w:r w:rsidRPr="00E8575E">
        <w:rPr>
          <w:b/>
          <w:bCs/>
        </w:rPr>
        <w:t>Q</w:t>
      </w:r>
      <w:r w:rsidRPr="00E8575E">
        <w:rPr>
          <w:b/>
          <w:bCs/>
          <w:vertAlign w:val="subscript"/>
        </w:rPr>
        <w:t>out</w:t>
      </w:r>
      <w:proofErr w:type="spellEnd"/>
      <w:r w:rsidRPr="00E8575E">
        <w:rPr>
          <w:b/>
          <w:bCs/>
        </w:rPr>
        <w:t>:</w:t>
      </w:r>
      <w:r>
        <w:t xml:space="preserve"> </w:t>
      </w:r>
      <w:r w:rsidR="00713194">
        <w:t>O</w:t>
      </w:r>
      <w:r w:rsidR="006A4761">
        <w:t>ut-of-sync</w:t>
      </w:r>
      <w:r>
        <w:t xml:space="preserve"> </w:t>
      </w:r>
      <w:r w:rsidR="00892D9B">
        <w:t>is indicated to higher layers</w:t>
      </w:r>
      <w:r w:rsidR="006A4761">
        <w:t xml:space="preserve"> when</w:t>
      </w:r>
      <w:r>
        <w:t xml:space="preserve"> </w:t>
      </w:r>
      <w:r w:rsidR="006A4761" w:rsidRPr="006A4761">
        <w:t xml:space="preserve">the radio link quality is worse than the threshold </w:t>
      </w:r>
      <w:proofErr w:type="spellStart"/>
      <w:r w:rsidR="006A4761" w:rsidRPr="006A4761">
        <w:t>Q</w:t>
      </w:r>
      <w:r w:rsidR="006A4761" w:rsidRPr="00E8575E">
        <w:rPr>
          <w:vertAlign w:val="subscript"/>
        </w:rPr>
        <w:t>out</w:t>
      </w:r>
      <w:proofErr w:type="spellEnd"/>
      <w:r w:rsidR="006A4761" w:rsidRPr="006A4761">
        <w:t xml:space="preserve"> for </w:t>
      </w:r>
      <w:r w:rsidR="006A4761" w:rsidRPr="00E8575E">
        <w:rPr>
          <w:b/>
          <w:bCs/>
        </w:rPr>
        <w:t>all</w:t>
      </w:r>
      <w:r w:rsidR="006A4761" w:rsidRPr="006A4761">
        <w:t xml:space="preserve"> resources in the set of resources for radio link monitoring</w:t>
      </w:r>
      <w:r w:rsidR="009C39DE">
        <w:t>. When</w:t>
      </w:r>
      <w:r w:rsidR="006A4761" w:rsidRPr="006A4761" w:rsidDel="006A4761">
        <w:t xml:space="preserve"> </w:t>
      </w:r>
      <w:r w:rsidR="00247387">
        <w:t>the RLM</w:t>
      </w:r>
      <w:r w:rsidR="009178BB">
        <w:t>-</w:t>
      </w:r>
      <w:r w:rsidR="00247387">
        <w:t>RS originate from two TRPs</w:t>
      </w:r>
      <w:r w:rsidR="00283DD9">
        <w:t xml:space="preserve"> and out-of-sync is indicated</w:t>
      </w:r>
      <w:r>
        <w:t xml:space="preserve">, </w:t>
      </w:r>
      <w:r w:rsidR="009C39DE">
        <w:t xml:space="preserve">this means that </w:t>
      </w:r>
      <w:r w:rsidR="00812088">
        <w:t xml:space="preserve">both links are out-of-sync, and if radio link failure follows, </w:t>
      </w:r>
      <w:r w:rsidR="00C30FE0">
        <w:t>this applies to both links</w:t>
      </w:r>
      <w:r w:rsidR="00BE4636">
        <w:t xml:space="preserve"> i.e. the whole cell</w:t>
      </w:r>
      <w:r w:rsidR="00C30FE0">
        <w:t>.</w:t>
      </w:r>
      <w:r w:rsidR="00A71D8F">
        <w:t xml:space="preserve"> </w:t>
      </w:r>
      <w:r w:rsidR="001564F3">
        <w:t>It</w:t>
      </w:r>
      <w:r w:rsidR="00A71D8F">
        <w:t xml:space="preserve"> is not possible to detect </w:t>
      </w:r>
      <w:r w:rsidR="00B23387">
        <w:t>out-of-sync for only one of the links</w:t>
      </w:r>
      <w:r w:rsidR="00271CDF">
        <w:t xml:space="preserve">, </w:t>
      </w:r>
      <w:r w:rsidR="00C54C25">
        <w:t>since the evaluation is done based on RLM</w:t>
      </w:r>
      <w:r w:rsidR="009178BB">
        <w:t>-</w:t>
      </w:r>
      <w:r w:rsidR="00C54C25">
        <w:t>RS originating from two TRS together</w:t>
      </w:r>
      <w:r w:rsidR="000F5E5A">
        <w:t>.</w:t>
      </w:r>
      <w:r w:rsidR="00D50155">
        <w:t xml:space="preserve"> Therefore, radio link failure based on RLM </w:t>
      </w:r>
      <w:r w:rsidR="009178BB">
        <w:t>always applies for the whole cell.</w:t>
      </w:r>
    </w:p>
    <w:p w14:paraId="5E2F3D8E" w14:textId="6CE1B024" w:rsidR="00D9137D" w:rsidRDefault="00D9137D" w:rsidP="00B928BB">
      <w:pPr>
        <w:pStyle w:val="RAN4observation0"/>
      </w:pPr>
      <w:bookmarkStart w:id="16" w:name="_Toc135067249"/>
      <w:r>
        <w:t xml:space="preserve">In multi-DCI </w:t>
      </w:r>
      <w:r w:rsidR="009178BB">
        <w:t>scenario</w:t>
      </w:r>
      <w:r>
        <w:t xml:space="preserve">, </w:t>
      </w:r>
      <w:r w:rsidR="007F7F0B">
        <w:t xml:space="preserve">out-of-sync indication means that </w:t>
      </w:r>
      <w:r w:rsidR="006B0104">
        <w:t xml:space="preserve">the radio link quality for </w:t>
      </w:r>
      <w:r w:rsidR="007F7F0B">
        <w:t>all RLM</w:t>
      </w:r>
      <w:r w:rsidR="009B736A">
        <w:t>-</w:t>
      </w:r>
      <w:r w:rsidR="007F7F0B">
        <w:t xml:space="preserve">RS originating from the two different TRPs </w:t>
      </w:r>
      <w:r w:rsidR="006B0104">
        <w:t xml:space="preserve">is worse than </w:t>
      </w:r>
      <w:proofErr w:type="spellStart"/>
      <w:r w:rsidR="006B0104">
        <w:t>Q</w:t>
      </w:r>
      <w:r w:rsidR="006B0104" w:rsidRPr="00B928BB">
        <w:rPr>
          <w:vertAlign w:val="subscript"/>
        </w:rPr>
        <w:t>out</w:t>
      </w:r>
      <w:proofErr w:type="spellEnd"/>
      <w:r w:rsidR="009D06AC">
        <w:t xml:space="preserve"> during the out-of-sync evaluation period</w:t>
      </w:r>
      <w:r w:rsidR="006B0104">
        <w:t xml:space="preserve">. </w:t>
      </w:r>
      <w:r w:rsidR="00F809FB">
        <w:t>Out</w:t>
      </w:r>
      <w:r w:rsidR="006A3691">
        <w:t xml:space="preserve">-of-sync </w:t>
      </w:r>
      <w:r w:rsidR="001564F3">
        <w:t>indication therefore means that both links</w:t>
      </w:r>
      <w:r w:rsidR="009B736A">
        <w:t xml:space="preserve"> are</w:t>
      </w:r>
      <w:r w:rsidR="008866A4">
        <w:t xml:space="preserve"> out-of-sync</w:t>
      </w:r>
      <w:r w:rsidR="006A3691">
        <w:t>.</w:t>
      </w:r>
      <w:bookmarkEnd w:id="16"/>
    </w:p>
    <w:p w14:paraId="66DC1B6D" w14:textId="36D15EB4" w:rsidR="00C30FE0" w:rsidRDefault="00C30FE0" w:rsidP="005A7A00">
      <w:r w:rsidRPr="00B928BB">
        <w:rPr>
          <w:b/>
          <w:bCs/>
        </w:rPr>
        <w:t>Q</w:t>
      </w:r>
      <w:r w:rsidRPr="00B928BB">
        <w:rPr>
          <w:b/>
          <w:bCs/>
          <w:vertAlign w:val="subscript"/>
        </w:rPr>
        <w:t>in</w:t>
      </w:r>
      <w:r w:rsidRPr="00B928BB">
        <w:rPr>
          <w:b/>
          <w:bCs/>
        </w:rPr>
        <w:t>:</w:t>
      </w:r>
      <w:r>
        <w:t xml:space="preserve"> In-sync is indicated to higher layers when the radio link quality is better than threshold Q</w:t>
      </w:r>
      <w:r w:rsidRPr="00B928BB">
        <w:rPr>
          <w:vertAlign w:val="subscript"/>
        </w:rPr>
        <w:t>in</w:t>
      </w:r>
      <w:r>
        <w:t xml:space="preserve"> for </w:t>
      </w:r>
      <w:r w:rsidRPr="00B928BB">
        <w:rPr>
          <w:b/>
          <w:bCs/>
        </w:rPr>
        <w:t>any</w:t>
      </w:r>
      <w:r w:rsidR="00052229">
        <w:t xml:space="preserve"> resource in the set of resources for radio link monitoring. When the RLM</w:t>
      </w:r>
      <w:r w:rsidR="005321FC">
        <w:t>-</w:t>
      </w:r>
      <w:r w:rsidR="00052229">
        <w:t>RS originate from two TRPs, it is not</w:t>
      </w:r>
      <w:r w:rsidR="00226524">
        <w:t xml:space="preserve"> clear which of the links the in-sync indication applies to. </w:t>
      </w:r>
      <w:r w:rsidR="006D7B28">
        <w:t xml:space="preserve">In-sync indication purely means that on </w:t>
      </w:r>
      <w:r w:rsidR="009728D4">
        <w:t xml:space="preserve">at least </w:t>
      </w:r>
      <w:r w:rsidR="006D7B28">
        <w:t>one of the links Q</w:t>
      </w:r>
      <w:r w:rsidR="006D7B28" w:rsidRPr="00B928BB">
        <w:rPr>
          <w:vertAlign w:val="subscript"/>
        </w:rPr>
        <w:t>in</w:t>
      </w:r>
      <w:r w:rsidR="006D7B28">
        <w:t xml:space="preserve"> was better than threshold during the evaluation period.</w:t>
      </w:r>
    </w:p>
    <w:p w14:paraId="79295AAA" w14:textId="535A4CE1" w:rsidR="006A3691" w:rsidRDefault="006A3691" w:rsidP="006A3691">
      <w:pPr>
        <w:pStyle w:val="RAN4observation0"/>
      </w:pPr>
      <w:bookmarkStart w:id="17" w:name="_Toc135067250"/>
      <w:r>
        <w:t>In multi-DCI mode, in-sync indication means that the radio link quality for any RLM</w:t>
      </w:r>
      <w:r w:rsidR="005321FC">
        <w:t>-</w:t>
      </w:r>
      <w:r>
        <w:t xml:space="preserve">RS </w:t>
      </w:r>
      <w:r w:rsidR="009D06AC">
        <w:t xml:space="preserve">originating from any of the two TRPs </w:t>
      </w:r>
      <w:r w:rsidR="0023655A">
        <w:t>is</w:t>
      </w:r>
      <w:r w:rsidR="009D06AC">
        <w:t xml:space="preserve"> better than Q</w:t>
      </w:r>
      <w:r w:rsidR="009D06AC" w:rsidRPr="00000989">
        <w:rPr>
          <w:vertAlign w:val="subscript"/>
        </w:rPr>
        <w:t>in</w:t>
      </w:r>
      <w:r w:rsidR="009D06AC">
        <w:t xml:space="preserve"> during the in-sync evaluation period. </w:t>
      </w:r>
      <w:r w:rsidR="003159B5">
        <w:t xml:space="preserve">It cannot be </w:t>
      </w:r>
      <w:r w:rsidR="00097B91">
        <w:t>distinguish</w:t>
      </w:r>
      <w:r w:rsidR="003159B5">
        <w:t>ed</w:t>
      </w:r>
      <w:r w:rsidR="00097B91">
        <w:t xml:space="preserve"> for which of the links the in-sync indication applies to.</w:t>
      </w:r>
      <w:bookmarkEnd w:id="17"/>
    </w:p>
    <w:p w14:paraId="45C86B39" w14:textId="5F14A42A" w:rsidR="009728D4" w:rsidRPr="00B43426" w:rsidRDefault="00876C23" w:rsidP="00000989">
      <w:r>
        <w:rPr>
          <w:lang w:val="en-GB"/>
        </w:rPr>
        <w:t xml:space="preserve">Based on observations 3-6, we </w:t>
      </w:r>
      <w:r w:rsidR="00A4624E">
        <w:rPr>
          <w:lang w:val="en-GB"/>
        </w:rPr>
        <w:t xml:space="preserve">think RAN4 should clarify the </w:t>
      </w:r>
      <w:r w:rsidR="00B967B3">
        <w:rPr>
          <w:lang w:val="en-GB"/>
        </w:rPr>
        <w:t xml:space="preserve">existing RLM </w:t>
      </w:r>
      <w:r w:rsidR="00A4624E">
        <w:rPr>
          <w:lang w:val="en-GB"/>
        </w:rPr>
        <w:t xml:space="preserve">requirements </w:t>
      </w:r>
      <w:r w:rsidR="00F74C30">
        <w:rPr>
          <w:lang w:val="en-GB"/>
        </w:rPr>
        <w:t>to cover the</w:t>
      </w:r>
      <w:r w:rsidR="00A4624E">
        <w:rPr>
          <w:lang w:val="en-GB"/>
        </w:rPr>
        <w:t xml:space="preserve"> multi</w:t>
      </w:r>
      <w:r w:rsidR="00B967B3">
        <w:rPr>
          <w:lang w:val="en-GB"/>
        </w:rPr>
        <w:t>-DCI scenario, where the RLM</w:t>
      </w:r>
      <w:r w:rsidR="00892023">
        <w:rPr>
          <w:lang w:val="en-GB"/>
        </w:rPr>
        <w:t>-</w:t>
      </w:r>
      <w:r w:rsidR="00B967B3">
        <w:rPr>
          <w:lang w:val="en-GB"/>
        </w:rPr>
        <w:t xml:space="preserve">RS </w:t>
      </w:r>
      <w:r w:rsidR="00F74C30">
        <w:rPr>
          <w:lang w:val="en-GB"/>
        </w:rPr>
        <w:t>originate from two different TRPs</w:t>
      </w:r>
      <w:r w:rsidR="00B967B3">
        <w:rPr>
          <w:lang w:val="en-GB"/>
        </w:rPr>
        <w:t>.</w:t>
      </w:r>
    </w:p>
    <w:p w14:paraId="391CF5B4" w14:textId="21F53265" w:rsidR="003D6662" w:rsidRDefault="003D6662" w:rsidP="003D6662">
      <w:pPr>
        <w:pStyle w:val="RAN4proposal"/>
      </w:pPr>
      <w:bookmarkStart w:id="18" w:name="_Toc135067251"/>
      <w:r>
        <w:t xml:space="preserve">RAN4 </w:t>
      </w:r>
      <w:r w:rsidR="00FD2098">
        <w:t xml:space="preserve">to clarify in the </w:t>
      </w:r>
      <w:r>
        <w:t xml:space="preserve">RLM </w:t>
      </w:r>
      <w:r w:rsidR="00FD2098">
        <w:t>requirements that the RLM-RS resources in multi-TRP mode may originate from</w:t>
      </w:r>
      <w:r w:rsidR="002B4800">
        <w:t xml:space="preserve"> two different TRPs</w:t>
      </w:r>
      <w:r w:rsidR="009224FB">
        <w:t xml:space="preserve"> and out-of-sync and in-sync indication applies for the whole cell</w:t>
      </w:r>
      <w:r>
        <w:t>.</w:t>
      </w:r>
      <w:bookmarkEnd w:id="18"/>
      <w:r>
        <w:t xml:space="preserve"> </w:t>
      </w:r>
    </w:p>
    <w:p w14:paraId="0856B1B0" w14:textId="77777777" w:rsidR="00783B77" w:rsidRDefault="00783B77" w:rsidP="00783B77">
      <w:r w:rsidRPr="00E8575E">
        <w:t>Regarding the beam sweeping factor N</w:t>
      </w:r>
      <w:r>
        <w:t xml:space="preserve"> for the RLM requirements for single-DCI and multi-DCI scenarios</w:t>
      </w:r>
      <w:r w:rsidRPr="00E8575E">
        <w:t>, RAN4 can follow the discussion under L1 measurement requirements AI.</w:t>
      </w:r>
    </w:p>
    <w:p w14:paraId="376D5CC3" w14:textId="6CA763E9" w:rsidR="00097B91" w:rsidRPr="00E8575E" w:rsidRDefault="008C7ECB" w:rsidP="00FF563F">
      <w:pPr>
        <w:pStyle w:val="RAN4proposal"/>
        <w:rPr>
          <w:lang w:val="en-GB"/>
        </w:rPr>
      </w:pPr>
      <w:bookmarkStart w:id="19" w:name="_Toc135067252"/>
      <w:r w:rsidRPr="00E8575E">
        <w:t>Regarding the beam sweeping factor N</w:t>
      </w:r>
      <w:r>
        <w:t xml:space="preserve"> for the RLM requirements for single-DCI and multi-DCI scenarios</w:t>
      </w:r>
      <w:r w:rsidRPr="00E8575E">
        <w:t xml:space="preserve">, </w:t>
      </w:r>
      <w:r w:rsidR="00737768">
        <w:t>follow</w:t>
      </w:r>
      <w:r w:rsidRPr="00E8575E">
        <w:t xml:space="preserve"> the discussion under L1 measurement requirements AI.</w:t>
      </w:r>
      <w:bookmarkEnd w:id="19"/>
    </w:p>
    <w:p w14:paraId="71BE1ADA" w14:textId="3D01B4A0" w:rsidR="00E333EC" w:rsidRDefault="00A22B33" w:rsidP="00E333EC">
      <w:pPr>
        <w:pStyle w:val="RAN4H1"/>
      </w:pPr>
      <w:r>
        <w:lastRenderedPageBreak/>
        <w:t>Link recovery procedures</w:t>
      </w:r>
    </w:p>
    <w:p w14:paraId="2B6A41C2" w14:textId="0B819C71" w:rsidR="00E333EC" w:rsidRDefault="009729DD" w:rsidP="009729DD">
      <w:pPr>
        <w:pStyle w:val="RAN4H2"/>
        <w:rPr>
          <w:lang w:val="en-GB"/>
        </w:rPr>
      </w:pPr>
      <w:r>
        <w:rPr>
          <w:lang w:val="en-GB"/>
        </w:rPr>
        <w:t>Multi-DCI</w:t>
      </w:r>
    </w:p>
    <w:p w14:paraId="3B20F051" w14:textId="2CF81D9E" w:rsidR="00B25DDC" w:rsidRDefault="0055590E" w:rsidP="00A22B33">
      <w:r>
        <w:rPr>
          <w:lang w:val="en-GB"/>
        </w:rPr>
        <w:t xml:space="preserve">In multi-DCI scenario, PDCCH is transmitted from both TRPs, and link quality is monitored on both links. </w:t>
      </w:r>
      <w:r w:rsidR="00A22B33">
        <w:t xml:space="preserve">The framework for link recovery was enhanced in Rel-17 for multi TRP operation by the possibility to configure different sets of reference signals for each TRP as shown in </w:t>
      </w:r>
      <w:r w:rsidR="00A22B33">
        <w:fldChar w:fldCharType="begin"/>
      </w:r>
      <w:r w:rsidR="00A22B33">
        <w:instrText xml:space="preserve"> REF _Ref127093329 \h  \* MERGEFORMAT </w:instrText>
      </w:r>
      <w:r w:rsidR="00A22B33">
        <w:fldChar w:fldCharType="separate"/>
      </w:r>
      <w:r w:rsidR="00A22B33">
        <w:t xml:space="preserve">Figure </w:t>
      </w:r>
      <w:r w:rsidR="00A22B33">
        <w:rPr>
          <w:noProof/>
        </w:rPr>
        <w:t>3</w:t>
      </w:r>
      <w:r w:rsidR="00A22B33">
        <w:fldChar w:fldCharType="end"/>
      </w:r>
      <w:r w:rsidR="00A22B33">
        <w:t xml:space="preserve">. </w:t>
      </w:r>
      <w:r w:rsidR="00A4715D">
        <w:t>When</w:t>
      </w:r>
      <w:r w:rsidR="00DD244F">
        <w:t xml:space="preserve"> beam failure is detected on both links, b</w:t>
      </w:r>
      <w:r w:rsidR="00A8190E">
        <w:t xml:space="preserve">eam failure </w:t>
      </w:r>
      <w:r w:rsidR="008549BA">
        <w:t>recovery is</w:t>
      </w:r>
      <w:r w:rsidR="00967E3A">
        <w:t xml:space="preserve"> </w:t>
      </w:r>
      <w:r w:rsidR="008549BA">
        <w:t xml:space="preserve">triggered </w:t>
      </w:r>
      <w:r w:rsidR="00623F8E">
        <w:t xml:space="preserve">by the UE by </w:t>
      </w:r>
      <w:r w:rsidR="003679E2">
        <w:t xml:space="preserve">initiating a </w:t>
      </w:r>
      <w:r w:rsidR="00623F8E">
        <w:t>random access procedure</w:t>
      </w:r>
      <w:r w:rsidR="00DD244F">
        <w:t>. When beam failure is detected one of the links</w:t>
      </w:r>
      <w:r w:rsidR="00A4715D">
        <w:t>,</w:t>
      </w:r>
      <w:r w:rsidR="00967E3A">
        <w:t xml:space="preserve"> </w:t>
      </w:r>
      <w:r w:rsidR="00DD244F">
        <w:t xml:space="preserve">beam failure recovery is </w:t>
      </w:r>
      <w:r w:rsidR="00605BAC">
        <w:t xml:space="preserve">triggered by </w:t>
      </w:r>
      <w:r w:rsidR="003679E2" w:rsidRPr="004438F2">
        <w:rPr>
          <w:noProof/>
        </w:rPr>
        <w:t>initiating a transmission of a BFR MAC CE for th</w:t>
      </w:r>
      <w:r w:rsidR="003679E2">
        <w:rPr>
          <w:noProof/>
        </w:rPr>
        <w:t xml:space="preserve">e </w:t>
      </w:r>
      <w:r w:rsidR="003679E2" w:rsidRPr="004438F2">
        <w:rPr>
          <w:noProof/>
        </w:rPr>
        <w:t>BFD-RS set</w:t>
      </w:r>
      <w:r w:rsidR="007C3E78">
        <w:rPr>
          <w:noProof/>
        </w:rPr>
        <w:t xml:space="preserve"> for the link that fails</w:t>
      </w:r>
      <w:r w:rsidR="00F548CD">
        <w:t>.</w:t>
      </w:r>
    </w:p>
    <w:p w14:paraId="1063F593" w14:textId="77777777" w:rsidR="007D21CF" w:rsidRDefault="007D21CF" w:rsidP="00ED7038">
      <w:pPr>
        <w:keepNext/>
        <w:jc w:val="center"/>
      </w:pPr>
      <w:r>
        <w:rPr>
          <w:noProof/>
        </w:rPr>
        <w:drawing>
          <wp:inline distT="0" distB="0" distL="0" distR="0" wp14:anchorId="13A7B9B5" wp14:editId="08551F10">
            <wp:extent cx="4446237" cy="46675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4586" cy="4676300"/>
                    </a:xfrm>
                    <a:prstGeom prst="rect">
                      <a:avLst/>
                    </a:prstGeom>
                    <a:noFill/>
                  </pic:spPr>
                </pic:pic>
              </a:graphicData>
            </a:graphic>
          </wp:inline>
        </w:drawing>
      </w:r>
    </w:p>
    <w:p w14:paraId="65D0BB20" w14:textId="77777777" w:rsidR="007D21CF" w:rsidRPr="003A682A" w:rsidRDefault="007D21CF" w:rsidP="007D21CF">
      <w:pPr>
        <w:pStyle w:val="Caption"/>
        <w:ind w:left="1440"/>
        <w:jc w:val="left"/>
        <w:rPr>
          <w:lang w:val="en-GB"/>
        </w:rPr>
      </w:pPr>
      <w:bookmarkStart w:id="20" w:name="_Ref127093329"/>
      <w:r>
        <w:t xml:space="preserve">Figure </w:t>
      </w:r>
      <w:fldSimple w:instr=" SEQ Figure \* ARABIC ">
        <w:r>
          <w:rPr>
            <w:noProof/>
          </w:rPr>
          <w:t>3</w:t>
        </w:r>
      </w:fldSimple>
      <w:bookmarkEnd w:id="20"/>
      <w:r>
        <w:t xml:space="preserve"> Beam failure detection and recovery framework for multi TRP operation</w:t>
      </w:r>
    </w:p>
    <w:p w14:paraId="746EB96F" w14:textId="77777777" w:rsidR="00F47FC6" w:rsidRDefault="00F47FC6" w:rsidP="00F47FC6">
      <w:r>
        <w:t xml:space="preserve">TRP-specific link recovery procedure is also reflected in RAN4 requirements, where the two sets of reference signals are considered in clause 8.18 of 38.133. </w:t>
      </w:r>
    </w:p>
    <w:p w14:paraId="2AF35BC0" w14:textId="2585AE72" w:rsidR="00A22B33" w:rsidRDefault="001368E1" w:rsidP="00A22B33">
      <w:r>
        <w:t>For multi-DCI scenario, the</w:t>
      </w:r>
      <w:r w:rsidR="00F26AEF">
        <w:t xml:space="preserve"> baseline of the</w:t>
      </w:r>
      <w:r>
        <w:t xml:space="preserve"> legacy TRP-specific link recovery requirements in section 8.18 of TS 38.133 can </w:t>
      </w:r>
      <w:r w:rsidR="00D2554C">
        <w:t xml:space="preserve">in our view </w:t>
      </w:r>
      <w:r>
        <w:t>apply directly.</w:t>
      </w:r>
      <w:r w:rsidR="00F26AEF">
        <w:t xml:space="preserve"> However, o</w:t>
      </w:r>
      <w:r w:rsidR="00A22B33">
        <w:t>ne aspect that the Rel-17 requirements include is the P</w:t>
      </w:r>
      <w:r w:rsidR="00A22B33" w:rsidRPr="009353F8">
        <w:rPr>
          <w:vertAlign w:val="subscript"/>
        </w:rPr>
        <w:t>TRP</w:t>
      </w:r>
      <w:r w:rsidR="00A22B33">
        <w:t xml:space="preserve"> factor, which accounts for overlapping between SSB/CSI-RS resources from </w:t>
      </w:r>
      <w:r w:rsidR="00A22B33" w:rsidRPr="00F93D4B">
        <w:t>both</w:t>
      </w:r>
      <w:r w:rsidR="00A22B33">
        <w:t xml:space="preserve"> TRPs. In the case of multi-Rx, the P</w:t>
      </w:r>
      <w:r w:rsidR="00A22B33" w:rsidRPr="009353F8">
        <w:rPr>
          <w:vertAlign w:val="subscript"/>
        </w:rPr>
        <w:t>TRP</w:t>
      </w:r>
      <w:r w:rsidR="00A22B33">
        <w:t xml:space="preserve"> factor may be evaluated again, since there is the possibility for the UE to monitor reference signals from the sets from one TRP simultaneously with the ones from the other TRP. </w:t>
      </w:r>
    </w:p>
    <w:p w14:paraId="5513A299" w14:textId="77777777" w:rsidR="00A22B33" w:rsidRPr="003A4805" w:rsidRDefault="00A22B33" w:rsidP="003A4805">
      <w:pPr>
        <w:pStyle w:val="RAN4observation0"/>
      </w:pPr>
      <w:bookmarkStart w:id="21" w:name="_Toc127530525"/>
      <w:bookmarkStart w:id="22" w:name="_Toc135067253"/>
      <w:r w:rsidRPr="003A4805">
        <w:t>TRP specific link recovery procedure in Rel-17 include P</w:t>
      </w:r>
      <w:r w:rsidRPr="003A4805">
        <w:rPr>
          <w:vertAlign w:val="subscript"/>
        </w:rPr>
        <w:t>TRP</w:t>
      </w:r>
      <w:r w:rsidRPr="003A4805">
        <w:t>=2 for CBD and BFD if sets of reference signals related to both TRPs are overlapped.</w:t>
      </w:r>
      <w:bookmarkEnd w:id="21"/>
      <w:bookmarkEnd w:id="22"/>
      <w:r w:rsidRPr="003A4805">
        <w:t xml:space="preserve"> </w:t>
      </w:r>
    </w:p>
    <w:p w14:paraId="6D51BD38" w14:textId="410E715C" w:rsidR="00A22B33" w:rsidRPr="00E67D33" w:rsidRDefault="009641F4" w:rsidP="00A22B33">
      <w:pPr>
        <w:pStyle w:val="RAN4proposal"/>
        <w:jc w:val="both"/>
        <w:rPr>
          <w:lang w:val="en-GB"/>
        </w:rPr>
      </w:pPr>
      <w:bookmarkStart w:id="23" w:name="_Toc127530526"/>
      <w:bookmarkStart w:id="24" w:name="_Toc135067254"/>
      <w:r>
        <w:rPr>
          <w:lang w:val="en-GB"/>
        </w:rPr>
        <w:t xml:space="preserve">For multi-DCI scenario, </w:t>
      </w:r>
      <w:r w:rsidR="00A22B33">
        <w:rPr>
          <w:lang w:val="en-GB"/>
        </w:rPr>
        <w:t>RAN4 to adopt Rel-17 TRP specific link recovery requirements as a baseline for multi</w:t>
      </w:r>
      <w:r w:rsidR="001D6F17">
        <w:rPr>
          <w:lang w:val="en-GB"/>
        </w:rPr>
        <w:t>-</w:t>
      </w:r>
      <w:r w:rsidR="00A22B33">
        <w:rPr>
          <w:lang w:val="en-GB"/>
        </w:rPr>
        <w:t xml:space="preserve">Rx </w:t>
      </w:r>
      <w:bookmarkEnd w:id="23"/>
      <w:r w:rsidR="00A22B33">
        <w:rPr>
          <w:lang w:val="en-GB"/>
        </w:rPr>
        <w:t>operation.</w:t>
      </w:r>
      <w:bookmarkEnd w:id="24"/>
    </w:p>
    <w:p w14:paraId="73D4EDEC" w14:textId="5D64620C" w:rsidR="00A22B33" w:rsidRDefault="00A22B33" w:rsidP="00A22B33">
      <w:pPr>
        <w:pStyle w:val="RAN4proposal"/>
        <w:jc w:val="both"/>
        <w:rPr>
          <w:lang w:val="en-GB"/>
        </w:rPr>
      </w:pPr>
      <w:bookmarkStart w:id="25" w:name="_Toc127530527"/>
      <w:bookmarkStart w:id="26" w:name="_Toc135067255"/>
      <w:r w:rsidRPr="00F53E7F">
        <w:rPr>
          <w:lang w:val="en-GB"/>
        </w:rPr>
        <w:t>RAN4 to consider P</w:t>
      </w:r>
      <w:r w:rsidRPr="009353F8">
        <w:rPr>
          <w:vertAlign w:val="subscript"/>
          <w:lang w:val="en-GB"/>
        </w:rPr>
        <w:t>TRP</w:t>
      </w:r>
      <w:r w:rsidRPr="00F53E7F">
        <w:rPr>
          <w:lang w:val="en-GB"/>
        </w:rPr>
        <w:t>=</w:t>
      </w:r>
      <w:r w:rsidR="00680FC6">
        <w:rPr>
          <w:lang w:val="en-GB"/>
        </w:rPr>
        <w:t>1</w:t>
      </w:r>
      <w:r w:rsidRPr="00F53E7F">
        <w:rPr>
          <w:lang w:val="en-GB"/>
        </w:rPr>
        <w:t xml:space="preserve"> for the BFD and CBD requirements of multi-Rx </w:t>
      </w:r>
      <w:r>
        <w:rPr>
          <w:lang w:val="en-GB"/>
        </w:rPr>
        <w:t>operation</w:t>
      </w:r>
      <w:r w:rsidRPr="00F53E7F">
        <w:rPr>
          <w:lang w:val="en-GB"/>
        </w:rPr>
        <w:t>.</w:t>
      </w:r>
      <w:bookmarkEnd w:id="25"/>
      <w:bookmarkEnd w:id="26"/>
      <w:r w:rsidRPr="00F53E7F">
        <w:rPr>
          <w:lang w:val="en-GB"/>
        </w:rPr>
        <w:t xml:space="preserve"> </w:t>
      </w:r>
    </w:p>
    <w:p w14:paraId="60F0090F" w14:textId="77777777" w:rsidR="009729DD" w:rsidRPr="002D4F22" w:rsidRDefault="009729DD" w:rsidP="00000989">
      <w:pPr>
        <w:pStyle w:val="RAN4H2"/>
        <w:rPr>
          <w:lang w:val="en-GB"/>
        </w:rPr>
      </w:pPr>
      <w:r w:rsidRPr="002D4F22">
        <w:rPr>
          <w:lang w:val="en-GB"/>
        </w:rPr>
        <w:lastRenderedPageBreak/>
        <w:t>Single-DCI</w:t>
      </w:r>
    </w:p>
    <w:p w14:paraId="7398663A" w14:textId="7EE67537" w:rsidR="009729DD" w:rsidRDefault="009729DD" w:rsidP="009729DD">
      <w:pPr>
        <w:rPr>
          <w:lang w:val="en-GB"/>
        </w:rPr>
      </w:pPr>
      <w:r>
        <w:rPr>
          <w:lang w:val="en-GB"/>
        </w:rPr>
        <w:t>In single-DCI mode,</w:t>
      </w:r>
      <w:r w:rsidR="00062F33">
        <w:rPr>
          <w:lang w:val="en-GB"/>
        </w:rPr>
        <w:t xml:space="preserve"> PDCCH is transmitted only from one TRP. </w:t>
      </w:r>
      <w:r w:rsidR="00B34571">
        <w:rPr>
          <w:lang w:val="en-GB"/>
        </w:rPr>
        <w:t>A</w:t>
      </w:r>
      <w:r w:rsidR="00062F33">
        <w:rPr>
          <w:lang w:val="en-GB"/>
        </w:rPr>
        <w:t>ccording to the existing RAN1 specifications,</w:t>
      </w:r>
      <w:r>
        <w:rPr>
          <w:lang w:val="en-GB"/>
        </w:rPr>
        <w:t xml:space="preserve"> link quality </w:t>
      </w:r>
      <w:r w:rsidR="003514C5">
        <w:rPr>
          <w:lang w:val="en-GB"/>
        </w:rPr>
        <w:t>monitoring is defined for</w:t>
      </w:r>
      <w:r w:rsidR="00B34571">
        <w:rPr>
          <w:lang w:val="en-GB"/>
        </w:rPr>
        <w:t xml:space="preserve"> PDCCH, which means </w:t>
      </w:r>
      <w:r w:rsidR="00A752B9">
        <w:rPr>
          <w:lang w:val="en-GB"/>
        </w:rPr>
        <w:t xml:space="preserve">in our understanding </w:t>
      </w:r>
      <w:r w:rsidR="00B34571">
        <w:rPr>
          <w:lang w:val="en-GB"/>
        </w:rPr>
        <w:t>that in single-DCI scenario, beam failure detection and candidate beam selection applies only to this anchor link.</w:t>
      </w:r>
    </w:p>
    <w:p w14:paraId="7FAD153F" w14:textId="5377882C" w:rsidR="003C2197" w:rsidRDefault="003C2197" w:rsidP="003C2197">
      <w:pPr>
        <w:pStyle w:val="RAN4observation0"/>
      </w:pPr>
      <w:bookmarkStart w:id="27" w:name="_Toc135067256"/>
      <w:r>
        <w:t>In single-DCI scenario, link quality monitoring for beam failure detection applies only to the link with PDCCH.</w:t>
      </w:r>
      <w:bookmarkEnd w:id="27"/>
    </w:p>
    <w:p w14:paraId="06C066F7" w14:textId="58A36841" w:rsidR="00D9030F" w:rsidRDefault="00D9030F" w:rsidP="00D9030F">
      <w:pPr>
        <w:rPr>
          <w:lang w:val="en-GB"/>
        </w:rPr>
      </w:pPr>
      <w:r>
        <w:rPr>
          <w:lang w:val="en-GB"/>
        </w:rPr>
        <w:t xml:space="preserve">Since only single link is considered, this would mean that the existing </w:t>
      </w:r>
      <w:r w:rsidR="003514C5">
        <w:rPr>
          <w:lang w:val="en-GB"/>
        </w:rPr>
        <w:t xml:space="preserve">cell-specific </w:t>
      </w:r>
      <w:r>
        <w:rPr>
          <w:lang w:val="en-GB"/>
        </w:rPr>
        <w:t>requirements</w:t>
      </w:r>
      <w:r w:rsidR="00D4545E">
        <w:rPr>
          <w:lang w:val="en-GB"/>
        </w:rPr>
        <w:t xml:space="preserve"> </w:t>
      </w:r>
      <w:r w:rsidR="003514C5">
        <w:rPr>
          <w:lang w:val="en-GB"/>
        </w:rPr>
        <w:t xml:space="preserve">in section 8.5 of TS 38.133 </w:t>
      </w:r>
      <w:r w:rsidR="00D4545E">
        <w:rPr>
          <w:lang w:val="en-GB"/>
        </w:rPr>
        <w:t>may apply.</w:t>
      </w:r>
    </w:p>
    <w:p w14:paraId="007952A8" w14:textId="0FE37376" w:rsidR="00D4545E" w:rsidRPr="00000989" w:rsidRDefault="00D4545E" w:rsidP="00000989">
      <w:pPr>
        <w:pStyle w:val="RAN4proposal"/>
        <w:rPr>
          <w:lang w:val="en-GB"/>
        </w:rPr>
      </w:pPr>
      <w:bookmarkStart w:id="28" w:name="_Toc135067257"/>
      <w:r>
        <w:rPr>
          <w:lang w:val="en-GB"/>
        </w:rPr>
        <w:t xml:space="preserve">In single-DCI scenario, </w:t>
      </w:r>
      <w:r w:rsidR="00C55BB7">
        <w:rPr>
          <w:lang w:val="en-GB"/>
        </w:rPr>
        <w:t>link quality monitoring is done only on the link with PDCCH</w:t>
      </w:r>
      <w:r w:rsidR="00406EA6">
        <w:rPr>
          <w:lang w:val="en-GB"/>
        </w:rPr>
        <w:t xml:space="preserve">, </w:t>
      </w:r>
      <w:r w:rsidR="00BD5B99">
        <w:rPr>
          <w:lang w:val="en-GB"/>
        </w:rPr>
        <w:t>so</w:t>
      </w:r>
      <w:r w:rsidR="00406EA6">
        <w:rPr>
          <w:lang w:val="en-GB"/>
        </w:rPr>
        <w:t xml:space="preserve"> legacy link recovery requirements </w:t>
      </w:r>
      <w:r w:rsidR="003514C5">
        <w:rPr>
          <w:lang w:val="en-GB"/>
        </w:rPr>
        <w:t xml:space="preserve">in section 8.5 </w:t>
      </w:r>
      <w:r w:rsidR="00406EA6">
        <w:rPr>
          <w:lang w:val="en-GB"/>
        </w:rPr>
        <w:t>apply</w:t>
      </w:r>
      <w:r w:rsidR="00BD5B99">
        <w:rPr>
          <w:lang w:val="en-GB"/>
        </w:rPr>
        <w:t>.</w:t>
      </w:r>
      <w:bookmarkEnd w:id="28"/>
    </w:p>
    <w:p w14:paraId="1B317404" w14:textId="77777777" w:rsidR="00A22B33" w:rsidRPr="00EF698B" w:rsidRDefault="00A22B33" w:rsidP="00A22B33">
      <w:pPr>
        <w:pStyle w:val="RAN4H1"/>
        <w:rPr>
          <w:lang w:val="en-US"/>
        </w:rPr>
      </w:pPr>
      <w:r w:rsidRPr="00EF698B">
        <w:rPr>
          <w:lang w:val="en-US"/>
        </w:rPr>
        <w:t>Conclusion</w:t>
      </w:r>
      <w:bookmarkEnd w:id="5"/>
    </w:p>
    <w:p w14:paraId="533C7367" w14:textId="77777777" w:rsidR="00A22B33" w:rsidRPr="00D7636C" w:rsidRDefault="00A22B33" w:rsidP="00A22B33">
      <w:pPr>
        <w:rPr>
          <w:highlight w:val="yellow"/>
          <w:lang w:val="en-GB"/>
        </w:rPr>
      </w:pPr>
      <w:r w:rsidRPr="00D7636C">
        <w:t>In this contribution we have made the following observations and proposals:</w:t>
      </w:r>
    </w:p>
    <w:p w14:paraId="40794B73" w14:textId="3BA0E9BA" w:rsidR="00214C90" w:rsidRDefault="00A22B33" w:rsidP="00214C90">
      <w:pPr>
        <w:pStyle w:val="TOC4"/>
        <w:rPr>
          <w:rFonts w:asciiTheme="minorHAnsi" w:eastAsiaTheme="minorEastAsia" w:hAnsiTheme="minorHAnsi"/>
          <w:noProof/>
          <w:sz w:val="22"/>
        </w:rPr>
      </w:pPr>
      <w:r>
        <w:rPr>
          <w:i/>
          <w:iCs/>
          <w:noProof/>
        </w:rPr>
        <w:fldChar w:fldCharType="begin"/>
      </w:r>
      <w:r>
        <w:rPr>
          <w:i/>
          <w:iCs/>
          <w:noProof/>
        </w:rPr>
        <w:instrText xml:space="preserve"> TOC \n \h \z \t "RAN4 proposal,5,RAN4 observation,4" </w:instrText>
      </w:r>
      <w:r>
        <w:rPr>
          <w:i/>
          <w:iCs/>
          <w:noProof/>
        </w:rPr>
        <w:fldChar w:fldCharType="separate"/>
      </w:r>
      <w:hyperlink w:anchor="_Toc135067244" w:history="1">
        <w:r w:rsidR="00214C90" w:rsidRPr="003D3B50">
          <w:rPr>
            <w:rStyle w:val="Hyperlink"/>
            <w:b/>
            <w:noProof/>
          </w:rPr>
          <w:t>Observation 1:</w:t>
        </w:r>
        <w:r w:rsidR="00214C90" w:rsidRPr="003D3B50">
          <w:rPr>
            <w:rStyle w:val="Hyperlink"/>
            <w:noProof/>
          </w:rPr>
          <w:t xml:space="preserve"> Qin/Qout thresholds for RLM are based on hypothetical PDCCH BLER.</w:t>
        </w:r>
      </w:hyperlink>
    </w:p>
    <w:p w14:paraId="08504D34" w14:textId="79075052" w:rsidR="00214C90" w:rsidRDefault="00000000" w:rsidP="00214C90">
      <w:pPr>
        <w:pStyle w:val="TOC4"/>
        <w:rPr>
          <w:rFonts w:asciiTheme="minorHAnsi" w:eastAsiaTheme="minorEastAsia" w:hAnsiTheme="minorHAnsi"/>
          <w:noProof/>
          <w:sz w:val="22"/>
        </w:rPr>
      </w:pPr>
      <w:hyperlink w:anchor="_Toc135067245" w:history="1">
        <w:r w:rsidR="00214C90" w:rsidRPr="003D3B50">
          <w:rPr>
            <w:rStyle w:val="Hyperlink"/>
            <w:b/>
            <w:noProof/>
          </w:rPr>
          <w:t>Observation 2:</w:t>
        </w:r>
        <w:r w:rsidR="00214C90" w:rsidRPr="003D3B50">
          <w:rPr>
            <w:rStyle w:val="Hyperlink"/>
            <w:noProof/>
          </w:rPr>
          <w:t xml:space="preserve"> For single-DCI non-SFN scenario, UE performs RLM only on one anchor TRP, which is why baseline of single TRP RLM requirements should also apply for multi TRP.</w:t>
        </w:r>
      </w:hyperlink>
    </w:p>
    <w:p w14:paraId="0BAE6FE1" w14:textId="51879120" w:rsidR="00214C90" w:rsidRDefault="00000000">
      <w:pPr>
        <w:pStyle w:val="TOC5"/>
        <w:rPr>
          <w:rFonts w:asciiTheme="minorHAnsi" w:eastAsiaTheme="minorEastAsia" w:hAnsiTheme="minorHAnsi"/>
          <w:b w:val="0"/>
          <w:noProof/>
          <w:sz w:val="22"/>
        </w:rPr>
      </w:pPr>
      <w:hyperlink w:anchor="_Toc135067246" w:history="1">
        <w:r w:rsidR="00214C90" w:rsidRPr="003D3B50">
          <w:rPr>
            <w:rStyle w:val="Hyperlink"/>
            <w:noProof/>
          </w:rPr>
          <w:t>Proposal 1: For single DCI scenario, RLM is monitored only on the link with PDCCH, and legacy RLM requirement baseline applies.</w:t>
        </w:r>
      </w:hyperlink>
    </w:p>
    <w:p w14:paraId="3E06AFC1" w14:textId="586686AF" w:rsidR="00214C90" w:rsidRDefault="00000000" w:rsidP="00214C90">
      <w:pPr>
        <w:pStyle w:val="TOC4"/>
        <w:rPr>
          <w:rFonts w:asciiTheme="minorHAnsi" w:eastAsiaTheme="minorEastAsia" w:hAnsiTheme="minorHAnsi"/>
          <w:noProof/>
          <w:sz w:val="22"/>
        </w:rPr>
      </w:pPr>
      <w:hyperlink w:anchor="_Toc135067247" w:history="1">
        <w:r w:rsidR="00214C90" w:rsidRPr="003D3B50">
          <w:rPr>
            <w:rStyle w:val="Hyperlink"/>
            <w:b/>
            <w:noProof/>
          </w:rPr>
          <w:t>Observation 3:</w:t>
        </w:r>
        <w:r w:rsidR="00214C90" w:rsidRPr="003D3B50">
          <w:rPr>
            <w:rStyle w:val="Hyperlink"/>
            <w:noProof/>
          </w:rPr>
          <w:t xml:space="preserve"> The configuration of </w:t>
        </w:r>
        <w:r w:rsidR="00214C90" w:rsidRPr="003D3B50">
          <w:rPr>
            <w:rStyle w:val="Hyperlink"/>
            <w:i/>
            <w:iCs/>
            <w:noProof/>
          </w:rPr>
          <w:t>failureDetectionResources</w:t>
        </w:r>
        <w:r w:rsidR="00214C90" w:rsidRPr="003D3B50">
          <w:rPr>
            <w:rStyle w:val="Hyperlink"/>
            <w:noProof/>
          </w:rPr>
          <w:t xml:space="preserve"> for RLM can include reference signals from different QCL-D sources.</w:t>
        </w:r>
      </w:hyperlink>
    </w:p>
    <w:p w14:paraId="21914E9D" w14:textId="5B708FF1" w:rsidR="00214C90" w:rsidRDefault="00000000" w:rsidP="00214C90">
      <w:pPr>
        <w:pStyle w:val="TOC4"/>
        <w:rPr>
          <w:rFonts w:asciiTheme="minorHAnsi" w:eastAsiaTheme="minorEastAsia" w:hAnsiTheme="minorHAnsi"/>
          <w:noProof/>
          <w:sz w:val="22"/>
        </w:rPr>
      </w:pPr>
      <w:hyperlink w:anchor="_Toc135067248" w:history="1">
        <w:r w:rsidR="00214C90" w:rsidRPr="003D3B50">
          <w:rPr>
            <w:rStyle w:val="Hyperlink"/>
            <w:b/>
            <w:noProof/>
          </w:rPr>
          <w:t>Observation 4:</w:t>
        </w:r>
        <w:r w:rsidR="00214C90" w:rsidRPr="003D3B50">
          <w:rPr>
            <w:rStyle w:val="Hyperlink"/>
            <w:noProof/>
          </w:rPr>
          <w:t xml:space="preserve"> If </w:t>
        </w:r>
        <w:r w:rsidR="00214C90" w:rsidRPr="003D3B50">
          <w:rPr>
            <w:rStyle w:val="Hyperlink"/>
            <w:i/>
            <w:iCs/>
            <w:noProof/>
          </w:rPr>
          <w:t>failureDetectionResources</w:t>
        </w:r>
        <w:r w:rsidR="00214C90" w:rsidRPr="003D3B50">
          <w:rPr>
            <w:rStyle w:val="Hyperlink"/>
            <w:noProof/>
          </w:rPr>
          <w:t xml:space="preserve"> for RLM is not configured, the reference signals of the indicated TCI states for PDCCH are implicitly configured as sources for RLM-RS.</w:t>
        </w:r>
      </w:hyperlink>
    </w:p>
    <w:p w14:paraId="5E81AC28" w14:textId="58B636A7" w:rsidR="00214C90" w:rsidRDefault="00000000" w:rsidP="00214C90">
      <w:pPr>
        <w:pStyle w:val="TOC4"/>
        <w:rPr>
          <w:rFonts w:asciiTheme="minorHAnsi" w:eastAsiaTheme="minorEastAsia" w:hAnsiTheme="minorHAnsi"/>
          <w:noProof/>
          <w:sz w:val="22"/>
        </w:rPr>
      </w:pPr>
      <w:hyperlink w:anchor="_Toc135067249" w:history="1">
        <w:r w:rsidR="00214C90" w:rsidRPr="003D3B50">
          <w:rPr>
            <w:rStyle w:val="Hyperlink"/>
            <w:b/>
            <w:noProof/>
          </w:rPr>
          <w:t>Observation 5:</w:t>
        </w:r>
        <w:r w:rsidR="00214C90" w:rsidRPr="003D3B50">
          <w:rPr>
            <w:rStyle w:val="Hyperlink"/>
            <w:noProof/>
          </w:rPr>
          <w:t xml:space="preserve"> In multi-DCI scenario, out-of-sync indication means that the radio link quality for all RLM-RS originating from the two different TRPs is worse than Q</w:t>
        </w:r>
        <w:r w:rsidR="00214C90" w:rsidRPr="003D3B50">
          <w:rPr>
            <w:rStyle w:val="Hyperlink"/>
            <w:noProof/>
            <w:vertAlign w:val="subscript"/>
          </w:rPr>
          <w:t>out</w:t>
        </w:r>
        <w:r w:rsidR="00214C90" w:rsidRPr="003D3B50">
          <w:rPr>
            <w:rStyle w:val="Hyperlink"/>
            <w:noProof/>
          </w:rPr>
          <w:t xml:space="preserve"> during the out-of-sync evaluation period. Out-of-sync indication therefore means that both links are out-of-sync.</w:t>
        </w:r>
      </w:hyperlink>
    </w:p>
    <w:p w14:paraId="2FB6738B" w14:textId="0DAF574D" w:rsidR="00214C90" w:rsidRDefault="00000000" w:rsidP="00214C90">
      <w:pPr>
        <w:pStyle w:val="TOC4"/>
        <w:rPr>
          <w:rFonts w:asciiTheme="minorHAnsi" w:eastAsiaTheme="minorEastAsia" w:hAnsiTheme="minorHAnsi"/>
          <w:noProof/>
          <w:sz w:val="22"/>
        </w:rPr>
      </w:pPr>
      <w:hyperlink w:anchor="_Toc135067250" w:history="1">
        <w:r w:rsidR="00214C90" w:rsidRPr="003D3B50">
          <w:rPr>
            <w:rStyle w:val="Hyperlink"/>
            <w:b/>
            <w:noProof/>
          </w:rPr>
          <w:t>Observation 6:</w:t>
        </w:r>
        <w:r w:rsidR="00214C90" w:rsidRPr="003D3B50">
          <w:rPr>
            <w:rStyle w:val="Hyperlink"/>
            <w:noProof/>
          </w:rPr>
          <w:t xml:space="preserve"> In multi-DCI mode, in-sync indication means that the radio link quality for any RLM-RS originating from any of the two TRPs is better than Q</w:t>
        </w:r>
        <w:r w:rsidR="00214C90" w:rsidRPr="003D3B50">
          <w:rPr>
            <w:rStyle w:val="Hyperlink"/>
            <w:noProof/>
            <w:vertAlign w:val="subscript"/>
          </w:rPr>
          <w:t>in</w:t>
        </w:r>
        <w:r w:rsidR="00214C90" w:rsidRPr="003D3B50">
          <w:rPr>
            <w:rStyle w:val="Hyperlink"/>
            <w:noProof/>
          </w:rPr>
          <w:t xml:space="preserve"> during the in-sync evaluation period. It cannot be distinguished for which of the links the in-sync indication applies to.</w:t>
        </w:r>
      </w:hyperlink>
    </w:p>
    <w:p w14:paraId="057B5C63" w14:textId="24CF9D3F" w:rsidR="00214C90" w:rsidRDefault="00000000">
      <w:pPr>
        <w:pStyle w:val="TOC5"/>
        <w:rPr>
          <w:rFonts w:asciiTheme="minorHAnsi" w:eastAsiaTheme="minorEastAsia" w:hAnsiTheme="minorHAnsi"/>
          <w:b w:val="0"/>
          <w:noProof/>
          <w:sz w:val="22"/>
        </w:rPr>
      </w:pPr>
      <w:hyperlink w:anchor="_Toc135067251" w:history="1">
        <w:r w:rsidR="00214C90" w:rsidRPr="003D3B50">
          <w:rPr>
            <w:rStyle w:val="Hyperlink"/>
            <w:noProof/>
          </w:rPr>
          <w:t>Proposal 2: RAN4 to clarify in the RLM requirements that the RLM-RS resources in multi-TRP mode may originate from two different TRPs and out-of-sync and in-sync indication applies for the whole cell.</w:t>
        </w:r>
      </w:hyperlink>
    </w:p>
    <w:p w14:paraId="689400FA" w14:textId="10BEA88A" w:rsidR="00214C90" w:rsidRDefault="00000000">
      <w:pPr>
        <w:pStyle w:val="TOC5"/>
        <w:rPr>
          <w:rFonts w:asciiTheme="minorHAnsi" w:eastAsiaTheme="minorEastAsia" w:hAnsiTheme="minorHAnsi"/>
          <w:b w:val="0"/>
          <w:noProof/>
          <w:sz w:val="22"/>
        </w:rPr>
      </w:pPr>
      <w:hyperlink w:anchor="_Toc135067252" w:history="1">
        <w:r w:rsidR="00214C90" w:rsidRPr="003D3B50">
          <w:rPr>
            <w:rStyle w:val="Hyperlink"/>
            <w:noProof/>
            <w:lang w:val="en-GB"/>
          </w:rPr>
          <w:t>Proposal 3:</w:t>
        </w:r>
        <w:r w:rsidR="00214C90" w:rsidRPr="003D3B50">
          <w:rPr>
            <w:rStyle w:val="Hyperlink"/>
            <w:noProof/>
          </w:rPr>
          <w:t xml:space="preserve"> Regarding the beam sweeping factor N for the RLM requirements for single-DCI and multi-DCI scenarios, follow the discussion under L1 measurement requirements AI.</w:t>
        </w:r>
      </w:hyperlink>
    </w:p>
    <w:p w14:paraId="10F66DCF" w14:textId="2D66B4B0" w:rsidR="00214C90" w:rsidRDefault="00000000" w:rsidP="00214C90">
      <w:pPr>
        <w:pStyle w:val="TOC4"/>
        <w:rPr>
          <w:rFonts w:asciiTheme="minorHAnsi" w:eastAsiaTheme="minorEastAsia" w:hAnsiTheme="minorHAnsi"/>
          <w:noProof/>
          <w:sz w:val="22"/>
        </w:rPr>
      </w:pPr>
      <w:hyperlink w:anchor="_Toc135067253" w:history="1">
        <w:r w:rsidR="00214C90" w:rsidRPr="003D3B50">
          <w:rPr>
            <w:rStyle w:val="Hyperlink"/>
            <w:b/>
            <w:noProof/>
          </w:rPr>
          <w:t>Observation 7:</w:t>
        </w:r>
        <w:r w:rsidR="00214C90" w:rsidRPr="003D3B50">
          <w:rPr>
            <w:rStyle w:val="Hyperlink"/>
            <w:noProof/>
          </w:rPr>
          <w:t xml:space="preserve"> TRP specific link recovery procedure in Rel-17 include P</w:t>
        </w:r>
        <w:r w:rsidR="00214C90" w:rsidRPr="003D3B50">
          <w:rPr>
            <w:rStyle w:val="Hyperlink"/>
            <w:noProof/>
            <w:vertAlign w:val="subscript"/>
          </w:rPr>
          <w:t>TRP</w:t>
        </w:r>
        <w:r w:rsidR="00214C90" w:rsidRPr="003D3B50">
          <w:rPr>
            <w:rStyle w:val="Hyperlink"/>
            <w:noProof/>
          </w:rPr>
          <w:t>=2 for CBD and BFD if sets of reference signals related to both TRPs are overlapped.</w:t>
        </w:r>
      </w:hyperlink>
    </w:p>
    <w:p w14:paraId="58DF62C2" w14:textId="0AD2E1BC" w:rsidR="00214C90" w:rsidRDefault="00000000">
      <w:pPr>
        <w:pStyle w:val="TOC5"/>
        <w:rPr>
          <w:rFonts w:asciiTheme="minorHAnsi" w:eastAsiaTheme="minorEastAsia" w:hAnsiTheme="minorHAnsi"/>
          <w:b w:val="0"/>
          <w:noProof/>
          <w:sz w:val="22"/>
        </w:rPr>
      </w:pPr>
      <w:hyperlink w:anchor="_Toc135067254" w:history="1">
        <w:r w:rsidR="00214C90" w:rsidRPr="003D3B50">
          <w:rPr>
            <w:rStyle w:val="Hyperlink"/>
            <w:noProof/>
            <w:lang w:val="en-GB"/>
          </w:rPr>
          <w:t>Proposal 4: For multi-DCI scenario, RAN4 to adopt Rel-17 TRP specific link recovery requirements as a baseline for multi-Rx operation.</w:t>
        </w:r>
      </w:hyperlink>
    </w:p>
    <w:p w14:paraId="0CDC8E09" w14:textId="17BEF5C3" w:rsidR="00214C90" w:rsidRDefault="00000000">
      <w:pPr>
        <w:pStyle w:val="TOC5"/>
        <w:rPr>
          <w:rFonts w:asciiTheme="minorHAnsi" w:eastAsiaTheme="minorEastAsia" w:hAnsiTheme="minorHAnsi"/>
          <w:b w:val="0"/>
          <w:noProof/>
          <w:sz w:val="22"/>
        </w:rPr>
      </w:pPr>
      <w:hyperlink w:anchor="_Toc135067255" w:history="1">
        <w:r w:rsidR="00214C90" w:rsidRPr="003D3B50">
          <w:rPr>
            <w:rStyle w:val="Hyperlink"/>
            <w:noProof/>
            <w:lang w:val="en-GB"/>
          </w:rPr>
          <w:t>Proposal 5: RAN4 to consider P</w:t>
        </w:r>
        <w:r w:rsidR="00214C90" w:rsidRPr="003D3B50">
          <w:rPr>
            <w:rStyle w:val="Hyperlink"/>
            <w:noProof/>
            <w:vertAlign w:val="subscript"/>
            <w:lang w:val="en-GB"/>
          </w:rPr>
          <w:t>TRP</w:t>
        </w:r>
        <w:r w:rsidR="00214C90" w:rsidRPr="003D3B50">
          <w:rPr>
            <w:rStyle w:val="Hyperlink"/>
            <w:noProof/>
            <w:lang w:val="en-GB"/>
          </w:rPr>
          <w:t>=1 for the BFD and CBD requirements of multi-Rx operation.</w:t>
        </w:r>
      </w:hyperlink>
    </w:p>
    <w:p w14:paraId="0441B5C8" w14:textId="1DA98869" w:rsidR="00214C90" w:rsidRDefault="00000000" w:rsidP="00214C90">
      <w:pPr>
        <w:pStyle w:val="TOC4"/>
        <w:rPr>
          <w:rFonts w:asciiTheme="minorHAnsi" w:eastAsiaTheme="minorEastAsia" w:hAnsiTheme="minorHAnsi"/>
          <w:noProof/>
          <w:sz w:val="22"/>
        </w:rPr>
      </w:pPr>
      <w:hyperlink w:anchor="_Toc135067256" w:history="1">
        <w:r w:rsidR="00214C90" w:rsidRPr="003D3B50">
          <w:rPr>
            <w:rStyle w:val="Hyperlink"/>
            <w:b/>
            <w:noProof/>
          </w:rPr>
          <w:t>Observation 8:</w:t>
        </w:r>
        <w:r w:rsidR="00214C90" w:rsidRPr="003D3B50">
          <w:rPr>
            <w:rStyle w:val="Hyperlink"/>
            <w:noProof/>
          </w:rPr>
          <w:t xml:space="preserve"> In single-DCI scenario, link quality monitoring for beam failure detection applies only to the link with PDCCH.</w:t>
        </w:r>
      </w:hyperlink>
    </w:p>
    <w:p w14:paraId="67E76A35" w14:textId="19F7EF1B" w:rsidR="00214C90" w:rsidRDefault="00000000">
      <w:pPr>
        <w:pStyle w:val="TOC5"/>
        <w:rPr>
          <w:rFonts w:asciiTheme="minorHAnsi" w:eastAsiaTheme="minorEastAsia" w:hAnsiTheme="minorHAnsi"/>
          <w:b w:val="0"/>
          <w:noProof/>
          <w:sz w:val="22"/>
        </w:rPr>
      </w:pPr>
      <w:hyperlink w:anchor="_Toc135067257" w:history="1">
        <w:r w:rsidR="00214C90" w:rsidRPr="003D3B50">
          <w:rPr>
            <w:rStyle w:val="Hyperlink"/>
            <w:noProof/>
            <w:lang w:val="en-GB"/>
          </w:rPr>
          <w:t>Proposal 6: In single-DCI scenario, link quality monitoring is done only on the link with PDCCH, so legacy link recovery requirements in section 8.5 apply.</w:t>
        </w:r>
      </w:hyperlink>
    </w:p>
    <w:p w14:paraId="11297F1C" w14:textId="33E26811" w:rsidR="00A22B33" w:rsidRDefault="00A22B33" w:rsidP="00A22B33">
      <w:pPr>
        <w:rPr>
          <w:rFonts w:ascii="Arial" w:eastAsia="SimSun" w:hAnsi="Arial" w:cs="Times New Roman"/>
          <w:noProof/>
          <w:sz w:val="36"/>
          <w:szCs w:val="20"/>
          <w:lang w:val="en-GB"/>
        </w:rPr>
      </w:pPr>
      <w:r>
        <w:rPr>
          <w:noProof/>
        </w:rPr>
        <w:fldChar w:fldCharType="end"/>
      </w:r>
      <w:bookmarkStart w:id="29" w:name="_Toc116995849"/>
    </w:p>
    <w:p w14:paraId="7FFE1C0D" w14:textId="77777777" w:rsidR="00A22B33" w:rsidRDefault="00A22B33" w:rsidP="00A22B33">
      <w:pPr>
        <w:pStyle w:val="RAN4H1"/>
        <w:numPr>
          <w:ilvl w:val="0"/>
          <w:numId w:val="0"/>
        </w:numPr>
        <w:ind w:left="360" w:hanging="360"/>
      </w:pPr>
      <w:r w:rsidRPr="00EF698B">
        <w:lastRenderedPageBreak/>
        <w:t>References</w:t>
      </w:r>
      <w:bookmarkEnd w:id="29"/>
    </w:p>
    <w:p w14:paraId="3C74B1E9" w14:textId="5E981A3F" w:rsidR="00BD615B" w:rsidRPr="004B49F9" w:rsidRDefault="00BD615B" w:rsidP="00BD615B">
      <w:pPr>
        <w:pStyle w:val="ListParagraph"/>
        <w:numPr>
          <w:ilvl w:val="0"/>
          <w:numId w:val="46"/>
        </w:numPr>
        <w:rPr>
          <w:rFonts w:asciiTheme="minorHAnsi" w:hAnsiTheme="minorHAnsi" w:cstheme="minorHAnsi"/>
          <w:lang w:val="en-GB"/>
        </w:rPr>
      </w:pPr>
      <w:bookmarkStart w:id="30" w:name="_Ref130293494"/>
      <w:r w:rsidRPr="00AA4AA7">
        <w:rPr>
          <w:rFonts w:ascii="Calibri" w:hAnsi="Calibri" w:cs="Calibri"/>
          <w:sz w:val="22"/>
          <w:lang w:val="en-GB"/>
        </w:rPr>
        <w:t>R4-230</w:t>
      </w:r>
      <w:r>
        <w:rPr>
          <w:rFonts w:ascii="Calibri" w:hAnsi="Calibri" w:cs="Calibri"/>
          <w:sz w:val="22"/>
          <w:lang w:val="en-GB"/>
        </w:rPr>
        <w:t>631</w:t>
      </w:r>
      <w:r w:rsidR="00DA085B">
        <w:rPr>
          <w:rFonts w:ascii="Calibri" w:hAnsi="Calibri" w:cs="Calibri"/>
          <w:sz w:val="22"/>
          <w:lang w:val="en-GB"/>
        </w:rPr>
        <w:t>8</w:t>
      </w:r>
      <w:r w:rsidRPr="00AA4AA7">
        <w:rPr>
          <w:rFonts w:ascii="Calibri" w:hAnsi="Calibri" w:cs="Calibri"/>
          <w:sz w:val="22"/>
          <w:lang w:val="en-GB"/>
        </w:rPr>
        <w:t xml:space="preserve">, </w:t>
      </w:r>
      <w:r w:rsidRPr="004B49F9">
        <w:rPr>
          <w:rFonts w:asciiTheme="minorHAnsi" w:hAnsiTheme="minorHAnsi" w:cstheme="minorHAnsi"/>
          <w:sz w:val="22"/>
          <w:lang w:val="en-GB"/>
        </w:rPr>
        <w:t xml:space="preserve">WF on NR FR2 multi-Rx chain DL reception RRM requirements (part 1), </w:t>
      </w:r>
      <w:r w:rsidR="00FF452C">
        <w:rPr>
          <w:rFonts w:asciiTheme="minorHAnsi" w:hAnsiTheme="minorHAnsi" w:cstheme="minorHAnsi"/>
          <w:sz w:val="22"/>
          <w:lang w:eastAsia="zh-CN"/>
        </w:rPr>
        <w:t>v</w:t>
      </w:r>
      <w:r w:rsidR="0084237E">
        <w:rPr>
          <w:rFonts w:asciiTheme="minorHAnsi" w:hAnsiTheme="minorHAnsi" w:cstheme="minorHAnsi"/>
          <w:sz w:val="22"/>
          <w:lang w:eastAsia="zh-CN"/>
        </w:rPr>
        <w:t>ivo</w:t>
      </w:r>
      <w:bookmarkEnd w:id="30"/>
    </w:p>
    <w:p w14:paraId="63DA10A8" w14:textId="63085657" w:rsidR="00BD615B" w:rsidRPr="00147F26" w:rsidRDefault="00BD615B" w:rsidP="00BD615B">
      <w:pPr>
        <w:pStyle w:val="ListParagraph"/>
        <w:numPr>
          <w:ilvl w:val="0"/>
          <w:numId w:val="46"/>
        </w:numPr>
        <w:rPr>
          <w:rFonts w:asciiTheme="minorHAnsi" w:hAnsiTheme="minorHAnsi" w:cstheme="minorHAnsi"/>
          <w:lang w:val="en-GB"/>
        </w:rPr>
      </w:pPr>
      <w:bookmarkStart w:id="31" w:name="_Ref130292661"/>
      <w:r w:rsidRPr="00DE4450">
        <w:rPr>
          <w:rFonts w:asciiTheme="minorHAnsi" w:hAnsiTheme="minorHAnsi" w:cstheme="minorHAnsi"/>
          <w:sz w:val="22"/>
          <w:lang w:val="en-GB"/>
        </w:rPr>
        <w:t>R4-230</w:t>
      </w:r>
      <w:r w:rsidR="00286B23">
        <w:rPr>
          <w:rFonts w:asciiTheme="minorHAnsi" w:hAnsiTheme="minorHAnsi" w:cstheme="minorHAnsi"/>
          <w:sz w:val="22"/>
          <w:lang w:val="en-GB"/>
        </w:rPr>
        <w:t>6392</w:t>
      </w:r>
      <w:r w:rsidRPr="00DE4450">
        <w:rPr>
          <w:rFonts w:asciiTheme="minorHAnsi" w:hAnsiTheme="minorHAnsi" w:cstheme="minorHAnsi"/>
          <w:sz w:val="22"/>
          <w:lang w:val="en-GB"/>
        </w:rPr>
        <w:t xml:space="preserve">, </w:t>
      </w:r>
      <w:r w:rsidRPr="00147F26">
        <w:rPr>
          <w:rFonts w:asciiTheme="minorHAnsi" w:eastAsiaTheme="minorEastAsia" w:hAnsiTheme="minorHAnsi" w:cstheme="minorHAnsi"/>
          <w:color w:val="000000"/>
          <w:sz w:val="22"/>
          <w:lang w:eastAsia="zh-CN"/>
        </w:rPr>
        <w:t>Topic summary for [106bis-e][20</w:t>
      </w:r>
      <w:r w:rsidR="00B81946">
        <w:rPr>
          <w:rFonts w:asciiTheme="minorHAnsi" w:eastAsiaTheme="minorEastAsia" w:hAnsiTheme="minorHAnsi" w:cstheme="minorHAnsi"/>
          <w:color w:val="000000"/>
          <w:sz w:val="22"/>
          <w:lang w:eastAsia="zh-CN"/>
        </w:rPr>
        <w:t>2</w:t>
      </w:r>
      <w:r w:rsidRPr="00147F26">
        <w:rPr>
          <w:rFonts w:asciiTheme="minorHAnsi" w:eastAsiaTheme="minorEastAsia" w:hAnsiTheme="minorHAnsi" w:cstheme="minorHAnsi"/>
          <w:color w:val="000000"/>
          <w:sz w:val="22"/>
          <w:lang w:eastAsia="zh-CN"/>
        </w:rPr>
        <w:t>] FR2_multiRx_part</w:t>
      </w:r>
      <w:r w:rsidR="00F5106A">
        <w:rPr>
          <w:rFonts w:asciiTheme="minorHAnsi" w:eastAsiaTheme="minorEastAsia" w:hAnsiTheme="minorHAnsi" w:cstheme="minorHAnsi"/>
          <w:color w:val="000000"/>
          <w:sz w:val="22"/>
          <w:lang w:eastAsia="zh-CN"/>
        </w:rPr>
        <w:t>1</w:t>
      </w:r>
      <w:r w:rsidRPr="00147F26">
        <w:rPr>
          <w:rFonts w:asciiTheme="minorHAnsi" w:hAnsiTheme="minorHAnsi" w:cstheme="minorHAnsi"/>
          <w:sz w:val="22"/>
          <w:lang w:val="en-GB"/>
        </w:rPr>
        <w:t xml:space="preserve">, </w:t>
      </w:r>
      <w:bookmarkEnd w:id="31"/>
      <w:r w:rsidR="00FF452C">
        <w:rPr>
          <w:rFonts w:asciiTheme="minorHAnsi" w:hAnsiTheme="minorHAnsi" w:cstheme="minorHAnsi"/>
          <w:sz w:val="22"/>
          <w:lang w:eastAsia="zh-CN"/>
        </w:rPr>
        <w:t>v</w:t>
      </w:r>
      <w:r w:rsidR="0084237E">
        <w:rPr>
          <w:rFonts w:asciiTheme="minorHAnsi" w:hAnsiTheme="minorHAnsi" w:cstheme="minorHAnsi"/>
          <w:sz w:val="22"/>
          <w:lang w:eastAsia="zh-CN"/>
        </w:rPr>
        <w:t>ivo</w:t>
      </w:r>
    </w:p>
    <w:p w14:paraId="41E061A7" w14:textId="77777777" w:rsidR="00BD615B" w:rsidRPr="0084237E" w:rsidRDefault="00BD615B" w:rsidP="0084237E">
      <w:pPr>
        <w:rPr>
          <w:lang w:val="en-GB"/>
        </w:rPr>
      </w:pPr>
    </w:p>
    <w:p w14:paraId="62EF9BBA" w14:textId="77777777" w:rsidR="0060543D" w:rsidRPr="00A22B33" w:rsidRDefault="0060543D" w:rsidP="00A22B33">
      <w:bookmarkStart w:id="32" w:name="_Ref114500673"/>
      <w:bookmarkEnd w:id="32"/>
    </w:p>
    <w:sectPr w:rsidR="0060543D" w:rsidRPr="00A22B3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11913" w14:textId="77777777" w:rsidR="00DD4D53" w:rsidRDefault="00DD4D53" w:rsidP="00001C9B">
      <w:pPr>
        <w:spacing w:after="0" w:line="240" w:lineRule="auto"/>
      </w:pPr>
      <w:r>
        <w:separator/>
      </w:r>
    </w:p>
  </w:endnote>
  <w:endnote w:type="continuationSeparator" w:id="0">
    <w:p w14:paraId="04F29DFA" w14:textId="77777777" w:rsidR="00DD4D53" w:rsidRDefault="00DD4D53" w:rsidP="00001C9B">
      <w:pPr>
        <w:spacing w:after="0" w:line="240" w:lineRule="auto"/>
      </w:pPr>
      <w:r>
        <w:continuationSeparator/>
      </w:r>
    </w:p>
  </w:endnote>
  <w:endnote w:type="continuationNotice" w:id="1">
    <w:p w14:paraId="11304514" w14:textId="77777777" w:rsidR="00DD4D53" w:rsidRDefault="00DD4D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281DF" w14:textId="77777777" w:rsidR="00DD4D53" w:rsidRDefault="00DD4D53" w:rsidP="00001C9B">
      <w:pPr>
        <w:spacing w:after="0" w:line="240" w:lineRule="auto"/>
      </w:pPr>
      <w:r>
        <w:separator/>
      </w:r>
    </w:p>
  </w:footnote>
  <w:footnote w:type="continuationSeparator" w:id="0">
    <w:p w14:paraId="20886510" w14:textId="77777777" w:rsidR="00DD4D53" w:rsidRDefault="00DD4D53" w:rsidP="00001C9B">
      <w:pPr>
        <w:spacing w:after="0" w:line="240" w:lineRule="auto"/>
      </w:pPr>
      <w:r>
        <w:continuationSeparator/>
      </w:r>
    </w:p>
  </w:footnote>
  <w:footnote w:type="continuationNotice" w:id="1">
    <w:p w14:paraId="4AEE9122" w14:textId="77777777" w:rsidR="00DD4D53" w:rsidRDefault="00DD4D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4A0948"/>
    <w:multiLevelType w:val="multilevel"/>
    <w:tmpl w:val="62FCD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7838F0"/>
    <w:multiLevelType w:val="multilevel"/>
    <w:tmpl w:val="AAC02C14"/>
    <w:lvl w:ilvl="0">
      <w:start w:val="7"/>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6C5421A"/>
    <w:multiLevelType w:val="multilevel"/>
    <w:tmpl w:val="2D103A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16823"/>
    <w:multiLevelType w:val="multilevel"/>
    <w:tmpl w:val="209EB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numFmt w:val="bullet"/>
      <w:lvlText w:val="-"/>
      <w:lvlJc w:val="left"/>
      <w:pPr>
        <w:ind w:left="3600" w:hanging="360"/>
      </w:pPr>
      <w:rPr>
        <w:rFonts w:ascii="Times New Roman" w:eastAsiaTheme="minorHAnsi" w:hAnsi="Times New Roman" w:cs="Times New Roman"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0667DF"/>
    <w:multiLevelType w:val="hybridMultilevel"/>
    <w:tmpl w:val="6BFAC1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50829E3"/>
    <w:multiLevelType w:val="hybridMultilevel"/>
    <w:tmpl w:val="264EFCB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0D685F"/>
    <w:multiLevelType w:val="hybridMultilevel"/>
    <w:tmpl w:val="6F1C1714"/>
    <w:lvl w:ilvl="0" w:tplc="08F4F06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F151C1"/>
    <w:multiLevelType w:val="hybridMultilevel"/>
    <w:tmpl w:val="07AA747A"/>
    <w:lvl w:ilvl="0" w:tplc="E248639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A82E97"/>
    <w:multiLevelType w:val="hybridMultilevel"/>
    <w:tmpl w:val="26AA901C"/>
    <w:lvl w:ilvl="0" w:tplc="5E14804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84E257B"/>
    <w:multiLevelType w:val="hybridMultilevel"/>
    <w:tmpl w:val="46D23F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A94646"/>
    <w:multiLevelType w:val="multilevel"/>
    <w:tmpl w:val="6FDA7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A76444"/>
    <w:multiLevelType w:val="hybridMultilevel"/>
    <w:tmpl w:val="D534C6FE"/>
    <w:lvl w:ilvl="0" w:tplc="DC380AF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F14357"/>
    <w:multiLevelType w:val="hybridMultilevel"/>
    <w:tmpl w:val="55226204"/>
    <w:lvl w:ilvl="0" w:tplc="AEEABC96">
      <w:start w:val="1"/>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0D0CED"/>
    <w:multiLevelType w:val="multilevel"/>
    <w:tmpl w:val="3502E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6CD799A"/>
    <w:multiLevelType w:val="multilevel"/>
    <w:tmpl w:val="A29A5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F576F6"/>
    <w:multiLevelType w:val="hybridMultilevel"/>
    <w:tmpl w:val="570CCBF0"/>
    <w:lvl w:ilvl="0" w:tplc="8144A53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985D6B"/>
    <w:multiLevelType w:val="multilevel"/>
    <w:tmpl w:val="223A65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9056993">
    <w:abstractNumId w:val="2"/>
  </w:num>
  <w:num w:numId="2" w16cid:durableId="775684583">
    <w:abstractNumId w:val="9"/>
  </w:num>
  <w:num w:numId="3" w16cid:durableId="963193073">
    <w:abstractNumId w:val="21"/>
  </w:num>
  <w:num w:numId="4" w16cid:durableId="112791240">
    <w:abstractNumId w:val="8"/>
  </w:num>
  <w:num w:numId="5" w16cid:durableId="1861160939">
    <w:abstractNumId w:val="28"/>
  </w:num>
  <w:num w:numId="6" w16cid:durableId="391276896">
    <w:abstractNumId w:val="17"/>
  </w:num>
  <w:num w:numId="7" w16cid:durableId="1572957536">
    <w:abstractNumId w:val="20"/>
  </w:num>
  <w:num w:numId="8" w16cid:durableId="1259825081">
    <w:abstractNumId w:val="20"/>
    <w:lvlOverride w:ilvl="0">
      <w:startOverride w:val="1"/>
    </w:lvlOverride>
  </w:num>
  <w:num w:numId="9" w16cid:durableId="69161127">
    <w:abstractNumId w:val="20"/>
    <w:lvlOverride w:ilvl="0">
      <w:startOverride w:val="1"/>
    </w:lvlOverride>
  </w:num>
  <w:num w:numId="10" w16cid:durableId="852917535">
    <w:abstractNumId w:val="20"/>
    <w:lvlOverride w:ilvl="0">
      <w:startOverride w:val="1"/>
    </w:lvlOverride>
  </w:num>
  <w:num w:numId="11" w16cid:durableId="1341469094">
    <w:abstractNumId w:val="17"/>
    <w:lvlOverride w:ilvl="0">
      <w:startOverride w:val="1"/>
    </w:lvlOverride>
  </w:num>
  <w:num w:numId="12" w16cid:durableId="989209923">
    <w:abstractNumId w:val="20"/>
    <w:lvlOverride w:ilvl="0">
      <w:startOverride w:val="1"/>
    </w:lvlOverride>
  </w:num>
  <w:num w:numId="13" w16cid:durableId="2119644486">
    <w:abstractNumId w:val="17"/>
    <w:lvlOverride w:ilvl="0">
      <w:startOverride w:val="1"/>
    </w:lvlOverride>
  </w:num>
  <w:num w:numId="14" w16cid:durableId="1399400968">
    <w:abstractNumId w:val="20"/>
    <w:lvlOverride w:ilvl="0">
      <w:startOverride w:val="1"/>
    </w:lvlOverride>
  </w:num>
  <w:num w:numId="15" w16cid:durableId="1714384029">
    <w:abstractNumId w:val="30"/>
  </w:num>
  <w:num w:numId="16" w16cid:durableId="458228719">
    <w:abstractNumId w:val="7"/>
  </w:num>
  <w:num w:numId="17" w16cid:durableId="167990357">
    <w:abstractNumId w:val="27"/>
  </w:num>
  <w:num w:numId="18" w16cid:durableId="1458796707">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1130921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8842112">
    <w:abstractNumId w:val="16"/>
  </w:num>
  <w:num w:numId="21" w16cid:durableId="262110702">
    <w:abstractNumId w:val="24"/>
  </w:num>
  <w:num w:numId="22" w16cid:durableId="226381284">
    <w:abstractNumId w:val="17"/>
    <w:lvlOverride w:ilvl="0">
      <w:startOverride w:val="1"/>
    </w:lvlOverride>
  </w:num>
  <w:num w:numId="23" w16cid:durableId="1928996274">
    <w:abstractNumId w:val="20"/>
    <w:lvlOverride w:ilvl="0">
      <w:startOverride w:val="1"/>
    </w:lvlOverride>
  </w:num>
  <w:num w:numId="24" w16cid:durableId="714160475">
    <w:abstractNumId w:val="3"/>
  </w:num>
  <w:num w:numId="25" w16cid:durableId="206534301">
    <w:abstractNumId w:val="1"/>
  </w:num>
  <w:num w:numId="26" w16cid:durableId="1044065866">
    <w:abstractNumId w:val="1"/>
    <w:lvlOverride w:ilvl="0">
      <w:startOverride w:val="1"/>
    </w:lvlOverride>
  </w:num>
  <w:num w:numId="27" w16cid:durableId="351079826">
    <w:abstractNumId w:val="5"/>
  </w:num>
  <w:num w:numId="28" w16cid:durableId="799108075">
    <w:abstractNumId w:val="10"/>
  </w:num>
  <w:num w:numId="29" w16cid:durableId="1022245502">
    <w:abstractNumId w:val="6"/>
  </w:num>
  <w:num w:numId="30" w16cid:durableId="1696808764">
    <w:abstractNumId w:val="0"/>
  </w:num>
  <w:num w:numId="31" w16cid:durableId="827672061">
    <w:abstractNumId w:val="18"/>
  </w:num>
  <w:num w:numId="32" w16cid:durableId="813303786">
    <w:abstractNumId w:val="11"/>
  </w:num>
  <w:num w:numId="33" w16cid:durableId="260380520">
    <w:abstractNumId w:val="14"/>
  </w:num>
  <w:num w:numId="34" w16cid:durableId="1176457763">
    <w:abstractNumId w:val="31"/>
  </w:num>
  <w:num w:numId="35" w16cid:durableId="570628198">
    <w:abstractNumId w:val="15"/>
  </w:num>
  <w:num w:numId="36" w16cid:durableId="1848982701">
    <w:abstractNumId w:val="19"/>
  </w:num>
  <w:num w:numId="37" w16cid:durableId="844901271">
    <w:abstractNumId w:val="32"/>
  </w:num>
  <w:num w:numId="38" w16cid:durableId="1106190646">
    <w:abstractNumId w:val="23"/>
  </w:num>
  <w:num w:numId="39" w16cid:durableId="1931350109">
    <w:abstractNumId w:val="4"/>
  </w:num>
  <w:num w:numId="40" w16cid:durableId="353848509">
    <w:abstractNumId w:val="12"/>
  </w:num>
  <w:num w:numId="41" w16cid:durableId="278340171">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2" w16cid:durableId="2013756850">
    <w:abstractNumId w:val="22"/>
  </w:num>
  <w:num w:numId="43" w16cid:durableId="1161501608">
    <w:abstractNumId w:val="29"/>
  </w:num>
  <w:num w:numId="44" w16cid:durableId="69618968">
    <w:abstractNumId w:val="26"/>
  </w:num>
  <w:num w:numId="45" w16cid:durableId="1435662572">
    <w:abstractNumId w:val="13"/>
  </w:num>
  <w:num w:numId="46" w16cid:durableId="50104711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F0FBE"/>
    <w:rsid w:val="00000989"/>
    <w:rsid w:val="00001C9B"/>
    <w:rsid w:val="000040DC"/>
    <w:rsid w:val="00006D15"/>
    <w:rsid w:val="0001176F"/>
    <w:rsid w:val="000151EF"/>
    <w:rsid w:val="0002172E"/>
    <w:rsid w:val="000239F5"/>
    <w:rsid w:val="0002796C"/>
    <w:rsid w:val="00043EE1"/>
    <w:rsid w:val="000450D1"/>
    <w:rsid w:val="00052229"/>
    <w:rsid w:val="00062F33"/>
    <w:rsid w:val="00081063"/>
    <w:rsid w:val="00082CE2"/>
    <w:rsid w:val="0008612A"/>
    <w:rsid w:val="00087D40"/>
    <w:rsid w:val="00090E18"/>
    <w:rsid w:val="00097B91"/>
    <w:rsid w:val="000A10BC"/>
    <w:rsid w:val="000A5B79"/>
    <w:rsid w:val="000B0056"/>
    <w:rsid w:val="000B2F89"/>
    <w:rsid w:val="000B5050"/>
    <w:rsid w:val="000C0314"/>
    <w:rsid w:val="000C3C7B"/>
    <w:rsid w:val="000D0F93"/>
    <w:rsid w:val="000D3851"/>
    <w:rsid w:val="000D3A56"/>
    <w:rsid w:val="000D6DCA"/>
    <w:rsid w:val="000E47FE"/>
    <w:rsid w:val="000F32C3"/>
    <w:rsid w:val="000F5B8F"/>
    <w:rsid w:val="000F5E5A"/>
    <w:rsid w:val="00106416"/>
    <w:rsid w:val="00110481"/>
    <w:rsid w:val="001127C9"/>
    <w:rsid w:val="00115B88"/>
    <w:rsid w:val="001201EE"/>
    <w:rsid w:val="00126ACE"/>
    <w:rsid w:val="00132F6A"/>
    <w:rsid w:val="00133913"/>
    <w:rsid w:val="001368E1"/>
    <w:rsid w:val="00140221"/>
    <w:rsid w:val="0014572F"/>
    <w:rsid w:val="00151CB3"/>
    <w:rsid w:val="00153EB7"/>
    <w:rsid w:val="001564F3"/>
    <w:rsid w:val="001568CE"/>
    <w:rsid w:val="001642FC"/>
    <w:rsid w:val="0016496B"/>
    <w:rsid w:val="00170302"/>
    <w:rsid w:val="00173864"/>
    <w:rsid w:val="001743E2"/>
    <w:rsid w:val="001745F8"/>
    <w:rsid w:val="0017559A"/>
    <w:rsid w:val="00182F5A"/>
    <w:rsid w:val="001838CF"/>
    <w:rsid w:val="001868EE"/>
    <w:rsid w:val="0019069F"/>
    <w:rsid w:val="0019104A"/>
    <w:rsid w:val="00191E2E"/>
    <w:rsid w:val="001A3BA4"/>
    <w:rsid w:val="001A6D1F"/>
    <w:rsid w:val="001B6C58"/>
    <w:rsid w:val="001D17BF"/>
    <w:rsid w:val="001D50AD"/>
    <w:rsid w:val="001D5417"/>
    <w:rsid w:val="001D6F17"/>
    <w:rsid w:val="001D7021"/>
    <w:rsid w:val="001E1714"/>
    <w:rsid w:val="001E30F6"/>
    <w:rsid w:val="001F7E87"/>
    <w:rsid w:val="00210936"/>
    <w:rsid w:val="00214C90"/>
    <w:rsid w:val="00217EE5"/>
    <w:rsid w:val="0022001A"/>
    <w:rsid w:val="0022461D"/>
    <w:rsid w:val="00226524"/>
    <w:rsid w:val="0022713D"/>
    <w:rsid w:val="0023180D"/>
    <w:rsid w:val="00235F5C"/>
    <w:rsid w:val="0023655A"/>
    <w:rsid w:val="00247387"/>
    <w:rsid w:val="00247CE2"/>
    <w:rsid w:val="00257FA3"/>
    <w:rsid w:val="00271CDF"/>
    <w:rsid w:val="00277B56"/>
    <w:rsid w:val="002805AF"/>
    <w:rsid w:val="00283DD9"/>
    <w:rsid w:val="00286B23"/>
    <w:rsid w:val="002A19F5"/>
    <w:rsid w:val="002A5F24"/>
    <w:rsid w:val="002B2A9F"/>
    <w:rsid w:val="002B4800"/>
    <w:rsid w:val="002B4922"/>
    <w:rsid w:val="002C0500"/>
    <w:rsid w:val="002C22C3"/>
    <w:rsid w:val="002C25A2"/>
    <w:rsid w:val="002C2D19"/>
    <w:rsid w:val="002C3D7C"/>
    <w:rsid w:val="002D10FA"/>
    <w:rsid w:val="002D4C55"/>
    <w:rsid w:val="002D4F22"/>
    <w:rsid w:val="002D7789"/>
    <w:rsid w:val="002E0E40"/>
    <w:rsid w:val="002E5BA4"/>
    <w:rsid w:val="002E61E7"/>
    <w:rsid w:val="002E6DED"/>
    <w:rsid w:val="002F0FBE"/>
    <w:rsid w:val="002F4DE9"/>
    <w:rsid w:val="00300956"/>
    <w:rsid w:val="00303BF4"/>
    <w:rsid w:val="0030500C"/>
    <w:rsid w:val="00314BC8"/>
    <w:rsid w:val="003159B5"/>
    <w:rsid w:val="00317187"/>
    <w:rsid w:val="00317FD0"/>
    <w:rsid w:val="0032499A"/>
    <w:rsid w:val="0032717C"/>
    <w:rsid w:val="003341F7"/>
    <w:rsid w:val="00337504"/>
    <w:rsid w:val="00347FEC"/>
    <w:rsid w:val="003514C5"/>
    <w:rsid w:val="00356F45"/>
    <w:rsid w:val="0036083B"/>
    <w:rsid w:val="00361CE5"/>
    <w:rsid w:val="00361E3D"/>
    <w:rsid w:val="00361FEB"/>
    <w:rsid w:val="00363CB8"/>
    <w:rsid w:val="00366B74"/>
    <w:rsid w:val="003679E2"/>
    <w:rsid w:val="0037024F"/>
    <w:rsid w:val="0037376A"/>
    <w:rsid w:val="00381B32"/>
    <w:rsid w:val="00381E2A"/>
    <w:rsid w:val="003869AC"/>
    <w:rsid w:val="003937E8"/>
    <w:rsid w:val="00396460"/>
    <w:rsid w:val="003A19A6"/>
    <w:rsid w:val="003A4805"/>
    <w:rsid w:val="003A710A"/>
    <w:rsid w:val="003B619E"/>
    <w:rsid w:val="003B659E"/>
    <w:rsid w:val="003B7153"/>
    <w:rsid w:val="003C2197"/>
    <w:rsid w:val="003C275E"/>
    <w:rsid w:val="003D2429"/>
    <w:rsid w:val="003D4C96"/>
    <w:rsid w:val="003D6662"/>
    <w:rsid w:val="003E452C"/>
    <w:rsid w:val="003E58DF"/>
    <w:rsid w:val="003F30BA"/>
    <w:rsid w:val="003F4E6C"/>
    <w:rsid w:val="003F6C92"/>
    <w:rsid w:val="003F6E93"/>
    <w:rsid w:val="0040133F"/>
    <w:rsid w:val="00404C4C"/>
    <w:rsid w:val="00406EA6"/>
    <w:rsid w:val="004075CC"/>
    <w:rsid w:val="0041423F"/>
    <w:rsid w:val="00414F81"/>
    <w:rsid w:val="00415AA1"/>
    <w:rsid w:val="00423247"/>
    <w:rsid w:val="004271CD"/>
    <w:rsid w:val="0043286F"/>
    <w:rsid w:val="00436A0F"/>
    <w:rsid w:val="00437150"/>
    <w:rsid w:val="0043750A"/>
    <w:rsid w:val="00447140"/>
    <w:rsid w:val="004558D7"/>
    <w:rsid w:val="00471772"/>
    <w:rsid w:val="00472834"/>
    <w:rsid w:val="004732E9"/>
    <w:rsid w:val="00477DFF"/>
    <w:rsid w:val="004854BB"/>
    <w:rsid w:val="00487226"/>
    <w:rsid w:val="00496606"/>
    <w:rsid w:val="004B234A"/>
    <w:rsid w:val="004B5622"/>
    <w:rsid w:val="004C62C8"/>
    <w:rsid w:val="004D204A"/>
    <w:rsid w:val="004E121F"/>
    <w:rsid w:val="004E3730"/>
    <w:rsid w:val="004E5E66"/>
    <w:rsid w:val="004E7ADB"/>
    <w:rsid w:val="004F0B90"/>
    <w:rsid w:val="0050045A"/>
    <w:rsid w:val="005025C3"/>
    <w:rsid w:val="00503B4D"/>
    <w:rsid w:val="00504EE9"/>
    <w:rsid w:val="00510516"/>
    <w:rsid w:val="00515DE6"/>
    <w:rsid w:val="00521576"/>
    <w:rsid w:val="005250E6"/>
    <w:rsid w:val="00525CBE"/>
    <w:rsid w:val="00530013"/>
    <w:rsid w:val="005321FC"/>
    <w:rsid w:val="00540D8A"/>
    <w:rsid w:val="00542D23"/>
    <w:rsid w:val="0054442C"/>
    <w:rsid w:val="00550285"/>
    <w:rsid w:val="00550A46"/>
    <w:rsid w:val="00551353"/>
    <w:rsid w:val="0055590E"/>
    <w:rsid w:val="00557A99"/>
    <w:rsid w:val="0056012E"/>
    <w:rsid w:val="00562492"/>
    <w:rsid w:val="0057232C"/>
    <w:rsid w:val="00572A20"/>
    <w:rsid w:val="00573065"/>
    <w:rsid w:val="00576A95"/>
    <w:rsid w:val="005836F8"/>
    <w:rsid w:val="005854B4"/>
    <w:rsid w:val="005918FA"/>
    <w:rsid w:val="00592A86"/>
    <w:rsid w:val="00595CFE"/>
    <w:rsid w:val="005A18BA"/>
    <w:rsid w:val="005A2289"/>
    <w:rsid w:val="005A51C7"/>
    <w:rsid w:val="005A621E"/>
    <w:rsid w:val="005A7A00"/>
    <w:rsid w:val="005B0F3E"/>
    <w:rsid w:val="005B4801"/>
    <w:rsid w:val="005B4DBB"/>
    <w:rsid w:val="005C0CA3"/>
    <w:rsid w:val="005C23A4"/>
    <w:rsid w:val="005D1467"/>
    <w:rsid w:val="005D1CDF"/>
    <w:rsid w:val="005D2BB7"/>
    <w:rsid w:val="005E5EBA"/>
    <w:rsid w:val="005E61A8"/>
    <w:rsid w:val="005F6419"/>
    <w:rsid w:val="0060543D"/>
    <w:rsid w:val="00605AEA"/>
    <w:rsid w:val="00605BAC"/>
    <w:rsid w:val="00606312"/>
    <w:rsid w:val="0060787C"/>
    <w:rsid w:val="006100EA"/>
    <w:rsid w:val="006104DD"/>
    <w:rsid w:val="00610AD4"/>
    <w:rsid w:val="006128C8"/>
    <w:rsid w:val="006130B5"/>
    <w:rsid w:val="00615863"/>
    <w:rsid w:val="00617400"/>
    <w:rsid w:val="00623F8E"/>
    <w:rsid w:val="00631B93"/>
    <w:rsid w:val="00632D29"/>
    <w:rsid w:val="00640D6C"/>
    <w:rsid w:val="006463AF"/>
    <w:rsid w:val="00650DDF"/>
    <w:rsid w:val="00650FF9"/>
    <w:rsid w:val="0066163C"/>
    <w:rsid w:val="00664950"/>
    <w:rsid w:val="0066535A"/>
    <w:rsid w:val="00667165"/>
    <w:rsid w:val="006777AD"/>
    <w:rsid w:val="00680FC6"/>
    <w:rsid w:val="00683220"/>
    <w:rsid w:val="00686DDB"/>
    <w:rsid w:val="0068751D"/>
    <w:rsid w:val="00687FA0"/>
    <w:rsid w:val="006911A8"/>
    <w:rsid w:val="006A3691"/>
    <w:rsid w:val="006A3C11"/>
    <w:rsid w:val="006A4761"/>
    <w:rsid w:val="006B0104"/>
    <w:rsid w:val="006B2BD5"/>
    <w:rsid w:val="006B33B0"/>
    <w:rsid w:val="006B7010"/>
    <w:rsid w:val="006C19E5"/>
    <w:rsid w:val="006C2041"/>
    <w:rsid w:val="006C3095"/>
    <w:rsid w:val="006D7B28"/>
    <w:rsid w:val="006E1151"/>
    <w:rsid w:val="006E4729"/>
    <w:rsid w:val="006E486C"/>
    <w:rsid w:val="006E6311"/>
    <w:rsid w:val="006F4A34"/>
    <w:rsid w:val="006F7875"/>
    <w:rsid w:val="00700A83"/>
    <w:rsid w:val="00710250"/>
    <w:rsid w:val="00712D98"/>
    <w:rsid w:val="00713194"/>
    <w:rsid w:val="007145FF"/>
    <w:rsid w:val="007152FD"/>
    <w:rsid w:val="00715B2A"/>
    <w:rsid w:val="00715F1C"/>
    <w:rsid w:val="007219EB"/>
    <w:rsid w:val="00731426"/>
    <w:rsid w:val="007328D7"/>
    <w:rsid w:val="00737768"/>
    <w:rsid w:val="00737777"/>
    <w:rsid w:val="00740872"/>
    <w:rsid w:val="00743262"/>
    <w:rsid w:val="007450F1"/>
    <w:rsid w:val="00751515"/>
    <w:rsid w:val="007626B7"/>
    <w:rsid w:val="0078212B"/>
    <w:rsid w:val="00783B77"/>
    <w:rsid w:val="007844C0"/>
    <w:rsid w:val="00784DF6"/>
    <w:rsid w:val="00785232"/>
    <w:rsid w:val="00793F89"/>
    <w:rsid w:val="007977A6"/>
    <w:rsid w:val="007A25A7"/>
    <w:rsid w:val="007A57F4"/>
    <w:rsid w:val="007A6935"/>
    <w:rsid w:val="007B186C"/>
    <w:rsid w:val="007B3C3D"/>
    <w:rsid w:val="007C12B6"/>
    <w:rsid w:val="007C1696"/>
    <w:rsid w:val="007C181D"/>
    <w:rsid w:val="007C3E78"/>
    <w:rsid w:val="007C3ED0"/>
    <w:rsid w:val="007C5971"/>
    <w:rsid w:val="007D21CF"/>
    <w:rsid w:val="007D582F"/>
    <w:rsid w:val="007D6C4E"/>
    <w:rsid w:val="007F2D18"/>
    <w:rsid w:val="007F54B9"/>
    <w:rsid w:val="007F66A8"/>
    <w:rsid w:val="007F7F0B"/>
    <w:rsid w:val="00804A9B"/>
    <w:rsid w:val="00805280"/>
    <w:rsid w:val="00806A76"/>
    <w:rsid w:val="00811C9D"/>
    <w:rsid w:val="00812088"/>
    <w:rsid w:val="00812A85"/>
    <w:rsid w:val="00816649"/>
    <w:rsid w:val="00816C80"/>
    <w:rsid w:val="00821498"/>
    <w:rsid w:val="00832692"/>
    <w:rsid w:val="00841BCD"/>
    <w:rsid w:val="0084237E"/>
    <w:rsid w:val="00842F23"/>
    <w:rsid w:val="00851A8E"/>
    <w:rsid w:val="0085365B"/>
    <w:rsid w:val="008549BA"/>
    <w:rsid w:val="00876C23"/>
    <w:rsid w:val="008826C1"/>
    <w:rsid w:val="00883DFD"/>
    <w:rsid w:val="008866A4"/>
    <w:rsid w:val="00892023"/>
    <w:rsid w:val="00892D9B"/>
    <w:rsid w:val="008A0E6D"/>
    <w:rsid w:val="008A1BF7"/>
    <w:rsid w:val="008A5B0E"/>
    <w:rsid w:val="008B0961"/>
    <w:rsid w:val="008B5712"/>
    <w:rsid w:val="008C1151"/>
    <w:rsid w:val="008C7A63"/>
    <w:rsid w:val="008C7ECB"/>
    <w:rsid w:val="008D1C83"/>
    <w:rsid w:val="008D66A7"/>
    <w:rsid w:val="008D74BE"/>
    <w:rsid w:val="008E22AA"/>
    <w:rsid w:val="008E282E"/>
    <w:rsid w:val="008E653C"/>
    <w:rsid w:val="008F6EF6"/>
    <w:rsid w:val="00900206"/>
    <w:rsid w:val="0090091A"/>
    <w:rsid w:val="009042BD"/>
    <w:rsid w:val="0091559E"/>
    <w:rsid w:val="009178BB"/>
    <w:rsid w:val="009224FB"/>
    <w:rsid w:val="00936159"/>
    <w:rsid w:val="009371FC"/>
    <w:rsid w:val="00945C53"/>
    <w:rsid w:val="00951AB9"/>
    <w:rsid w:val="00952D5C"/>
    <w:rsid w:val="009641F4"/>
    <w:rsid w:val="00967E3A"/>
    <w:rsid w:val="0097248E"/>
    <w:rsid w:val="009728D4"/>
    <w:rsid w:val="009729DD"/>
    <w:rsid w:val="009739CE"/>
    <w:rsid w:val="00974877"/>
    <w:rsid w:val="00977E1D"/>
    <w:rsid w:val="00983244"/>
    <w:rsid w:val="009854FB"/>
    <w:rsid w:val="0099752B"/>
    <w:rsid w:val="009B0573"/>
    <w:rsid w:val="009B736A"/>
    <w:rsid w:val="009B7B4B"/>
    <w:rsid w:val="009B7C21"/>
    <w:rsid w:val="009C39DE"/>
    <w:rsid w:val="009C5181"/>
    <w:rsid w:val="009C6B03"/>
    <w:rsid w:val="009D06AC"/>
    <w:rsid w:val="009D1554"/>
    <w:rsid w:val="009E0497"/>
    <w:rsid w:val="009E47FD"/>
    <w:rsid w:val="009E6258"/>
    <w:rsid w:val="009F242B"/>
    <w:rsid w:val="009F5FE8"/>
    <w:rsid w:val="00A04992"/>
    <w:rsid w:val="00A05EB3"/>
    <w:rsid w:val="00A147AA"/>
    <w:rsid w:val="00A21D71"/>
    <w:rsid w:val="00A22B33"/>
    <w:rsid w:val="00A22B78"/>
    <w:rsid w:val="00A2533F"/>
    <w:rsid w:val="00A25AE5"/>
    <w:rsid w:val="00A34462"/>
    <w:rsid w:val="00A357ED"/>
    <w:rsid w:val="00A37002"/>
    <w:rsid w:val="00A42AF3"/>
    <w:rsid w:val="00A4355E"/>
    <w:rsid w:val="00A4624E"/>
    <w:rsid w:val="00A4715D"/>
    <w:rsid w:val="00A546B9"/>
    <w:rsid w:val="00A638E9"/>
    <w:rsid w:val="00A71D8F"/>
    <w:rsid w:val="00A74329"/>
    <w:rsid w:val="00A752B9"/>
    <w:rsid w:val="00A7558C"/>
    <w:rsid w:val="00A8190E"/>
    <w:rsid w:val="00A8581E"/>
    <w:rsid w:val="00A91B5E"/>
    <w:rsid w:val="00A92BCD"/>
    <w:rsid w:val="00A9554A"/>
    <w:rsid w:val="00A95CFA"/>
    <w:rsid w:val="00AA1B0E"/>
    <w:rsid w:val="00AA2711"/>
    <w:rsid w:val="00AA3520"/>
    <w:rsid w:val="00AA47B6"/>
    <w:rsid w:val="00AB24C8"/>
    <w:rsid w:val="00AB5133"/>
    <w:rsid w:val="00AB631A"/>
    <w:rsid w:val="00AC163B"/>
    <w:rsid w:val="00AC532E"/>
    <w:rsid w:val="00AC5CA7"/>
    <w:rsid w:val="00AC5D0B"/>
    <w:rsid w:val="00AC5FA8"/>
    <w:rsid w:val="00AC6058"/>
    <w:rsid w:val="00AD5D33"/>
    <w:rsid w:val="00AE2BA5"/>
    <w:rsid w:val="00AE56B1"/>
    <w:rsid w:val="00AE6D09"/>
    <w:rsid w:val="00AE7A93"/>
    <w:rsid w:val="00AF7A7C"/>
    <w:rsid w:val="00B0527B"/>
    <w:rsid w:val="00B10008"/>
    <w:rsid w:val="00B1398C"/>
    <w:rsid w:val="00B23387"/>
    <w:rsid w:val="00B24543"/>
    <w:rsid w:val="00B25DDC"/>
    <w:rsid w:val="00B3367A"/>
    <w:rsid w:val="00B34571"/>
    <w:rsid w:val="00B408B6"/>
    <w:rsid w:val="00B43426"/>
    <w:rsid w:val="00B45A72"/>
    <w:rsid w:val="00B520C5"/>
    <w:rsid w:val="00B542DA"/>
    <w:rsid w:val="00B60EB6"/>
    <w:rsid w:val="00B638EE"/>
    <w:rsid w:val="00B65EA5"/>
    <w:rsid w:val="00B73862"/>
    <w:rsid w:val="00B73F43"/>
    <w:rsid w:val="00B763A6"/>
    <w:rsid w:val="00B8153C"/>
    <w:rsid w:val="00B81946"/>
    <w:rsid w:val="00B81EC4"/>
    <w:rsid w:val="00B87B51"/>
    <w:rsid w:val="00B928BB"/>
    <w:rsid w:val="00B967B3"/>
    <w:rsid w:val="00B96A25"/>
    <w:rsid w:val="00BA6B66"/>
    <w:rsid w:val="00BA6E48"/>
    <w:rsid w:val="00BB2409"/>
    <w:rsid w:val="00BB4DA2"/>
    <w:rsid w:val="00BD5B99"/>
    <w:rsid w:val="00BD615B"/>
    <w:rsid w:val="00BE0AF6"/>
    <w:rsid w:val="00BE14C4"/>
    <w:rsid w:val="00BE1F03"/>
    <w:rsid w:val="00BE3CA8"/>
    <w:rsid w:val="00BE4636"/>
    <w:rsid w:val="00BE46FA"/>
    <w:rsid w:val="00BE58A7"/>
    <w:rsid w:val="00BF0187"/>
    <w:rsid w:val="00BF2218"/>
    <w:rsid w:val="00BF7CC7"/>
    <w:rsid w:val="00C0426B"/>
    <w:rsid w:val="00C045DF"/>
    <w:rsid w:val="00C077A2"/>
    <w:rsid w:val="00C10141"/>
    <w:rsid w:val="00C1341E"/>
    <w:rsid w:val="00C14C37"/>
    <w:rsid w:val="00C209C6"/>
    <w:rsid w:val="00C2127A"/>
    <w:rsid w:val="00C21D13"/>
    <w:rsid w:val="00C26D43"/>
    <w:rsid w:val="00C30FE0"/>
    <w:rsid w:val="00C46548"/>
    <w:rsid w:val="00C54C25"/>
    <w:rsid w:val="00C55BB7"/>
    <w:rsid w:val="00C574D5"/>
    <w:rsid w:val="00C625F6"/>
    <w:rsid w:val="00C677A1"/>
    <w:rsid w:val="00C73F32"/>
    <w:rsid w:val="00C87462"/>
    <w:rsid w:val="00C91FAE"/>
    <w:rsid w:val="00CA180C"/>
    <w:rsid w:val="00CB0653"/>
    <w:rsid w:val="00CB22B2"/>
    <w:rsid w:val="00CB3B9E"/>
    <w:rsid w:val="00CC3EE2"/>
    <w:rsid w:val="00CD2427"/>
    <w:rsid w:val="00CD7492"/>
    <w:rsid w:val="00CE3A6B"/>
    <w:rsid w:val="00CE7B5D"/>
    <w:rsid w:val="00CF2E83"/>
    <w:rsid w:val="00CF5871"/>
    <w:rsid w:val="00D00211"/>
    <w:rsid w:val="00D01530"/>
    <w:rsid w:val="00D06309"/>
    <w:rsid w:val="00D15E02"/>
    <w:rsid w:val="00D22948"/>
    <w:rsid w:val="00D2554C"/>
    <w:rsid w:val="00D3322E"/>
    <w:rsid w:val="00D351EA"/>
    <w:rsid w:val="00D40288"/>
    <w:rsid w:val="00D43403"/>
    <w:rsid w:val="00D4545E"/>
    <w:rsid w:val="00D50155"/>
    <w:rsid w:val="00D5270B"/>
    <w:rsid w:val="00D62E71"/>
    <w:rsid w:val="00D6430D"/>
    <w:rsid w:val="00D66188"/>
    <w:rsid w:val="00D67607"/>
    <w:rsid w:val="00D731F6"/>
    <w:rsid w:val="00D740CA"/>
    <w:rsid w:val="00D7636C"/>
    <w:rsid w:val="00D77CCC"/>
    <w:rsid w:val="00D84679"/>
    <w:rsid w:val="00D85728"/>
    <w:rsid w:val="00D9030F"/>
    <w:rsid w:val="00D9137D"/>
    <w:rsid w:val="00D95481"/>
    <w:rsid w:val="00D97699"/>
    <w:rsid w:val="00D976F4"/>
    <w:rsid w:val="00DA085B"/>
    <w:rsid w:val="00DA1A59"/>
    <w:rsid w:val="00DA2E92"/>
    <w:rsid w:val="00DA7BEF"/>
    <w:rsid w:val="00DB2695"/>
    <w:rsid w:val="00DC3C66"/>
    <w:rsid w:val="00DC5C94"/>
    <w:rsid w:val="00DC7A13"/>
    <w:rsid w:val="00DD244F"/>
    <w:rsid w:val="00DD4D53"/>
    <w:rsid w:val="00DE0505"/>
    <w:rsid w:val="00DE2BE2"/>
    <w:rsid w:val="00DE720D"/>
    <w:rsid w:val="00DF10E7"/>
    <w:rsid w:val="00DF2997"/>
    <w:rsid w:val="00DF299E"/>
    <w:rsid w:val="00E0016F"/>
    <w:rsid w:val="00E061AB"/>
    <w:rsid w:val="00E10BC4"/>
    <w:rsid w:val="00E13AF0"/>
    <w:rsid w:val="00E1415D"/>
    <w:rsid w:val="00E15B08"/>
    <w:rsid w:val="00E323E9"/>
    <w:rsid w:val="00E333EC"/>
    <w:rsid w:val="00E33718"/>
    <w:rsid w:val="00E34018"/>
    <w:rsid w:val="00E342C4"/>
    <w:rsid w:val="00E437D2"/>
    <w:rsid w:val="00E44484"/>
    <w:rsid w:val="00E46EA1"/>
    <w:rsid w:val="00E53BD6"/>
    <w:rsid w:val="00E54BAF"/>
    <w:rsid w:val="00E55751"/>
    <w:rsid w:val="00E5683B"/>
    <w:rsid w:val="00E5759B"/>
    <w:rsid w:val="00E64DFD"/>
    <w:rsid w:val="00E65864"/>
    <w:rsid w:val="00E67BF6"/>
    <w:rsid w:val="00E8575E"/>
    <w:rsid w:val="00EA0588"/>
    <w:rsid w:val="00EA124B"/>
    <w:rsid w:val="00EA2311"/>
    <w:rsid w:val="00EA2F10"/>
    <w:rsid w:val="00EA3DE2"/>
    <w:rsid w:val="00EB0343"/>
    <w:rsid w:val="00EB34E1"/>
    <w:rsid w:val="00EB3DCF"/>
    <w:rsid w:val="00EC0843"/>
    <w:rsid w:val="00EC3533"/>
    <w:rsid w:val="00EC51E5"/>
    <w:rsid w:val="00EC7BC3"/>
    <w:rsid w:val="00ED2A01"/>
    <w:rsid w:val="00ED7038"/>
    <w:rsid w:val="00ED7600"/>
    <w:rsid w:val="00EE2A09"/>
    <w:rsid w:val="00EF3C5C"/>
    <w:rsid w:val="00EF4B3B"/>
    <w:rsid w:val="00EF6073"/>
    <w:rsid w:val="00EF698B"/>
    <w:rsid w:val="00F00A3A"/>
    <w:rsid w:val="00F11D0E"/>
    <w:rsid w:val="00F1339D"/>
    <w:rsid w:val="00F1362C"/>
    <w:rsid w:val="00F144F2"/>
    <w:rsid w:val="00F26AEF"/>
    <w:rsid w:val="00F40461"/>
    <w:rsid w:val="00F414F1"/>
    <w:rsid w:val="00F44733"/>
    <w:rsid w:val="00F44F49"/>
    <w:rsid w:val="00F47FC6"/>
    <w:rsid w:val="00F508B8"/>
    <w:rsid w:val="00F5106A"/>
    <w:rsid w:val="00F548CD"/>
    <w:rsid w:val="00F62488"/>
    <w:rsid w:val="00F718CB"/>
    <w:rsid w:val="00F72CB1"/>
    <w:rsid w:val="00F74C30"/>
    <w:rsid w:val="00F7672D"/>
    <w:rsid w:val="00F809FB"/>
    <w:rsid w:val="00F8215E"/>
    <w:rsid w:val="00F824F5"/>
    <w:rsid w:val="00F85ADC"/>
    <w:rsid w:val="00F9081E"/>
    <w:rsid w:val="00F93258"/>
    <w:rsid w:val="00F9374D"/>
    <w:rsid w:val="00F93D4B"/>
    <w:rsid w:val="00FA4DF3"/>
    <w:rsid w:val="00FB54FF"/>
    <w:rsid w:val="00FC29B9"/>
    <w:rsid w:val="00FC3B85"/>
    <w:rsid w:val="00FC6FD3"/>
    <w:rsid w:val="00FD2098"/>
    <w:rsid w:val="00FD3C3B"/>
    <w:rsid w:val="00FD569C"/>
    <w:rsid w:val="00FE0509"/>
    <w:rsid w:val="00FE305C"/>
    <w:rsid w:val="00FF0301"/>
    <w:rsid w:val="00FF452C"/>
    <w:rsid w:val="00FF563F"/>
    <w:rsid w:val="00FF63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5F4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2C8"/>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ì¬º¥¹¥È¶ÎÂä,ÁÐ³ö¶ÎÂä,¥ê¥¹¥È¶ÎÂä,列表段落1,—ño’i—Ž,列出段落1,목록 단락,リスト段落,1st level - Bullet List Paragraph,Lettre d'introduction,Paragrafo elenco,R4_bullets,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 Char,中等深浅网格 1 - 着色 21 Char,¥¡¡¡¡ì¬º¥¹¥È¶ÎÂä Char,ÁÐ³ö¶ÎÂä Char,¥ê¥¹¥È¶ÎÂä Char,列表段落1 Char,—ño’i—Ž Char,列出段落1 Char,목록 단락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214C90"/>
    <w:pPr>
      <w:tabs>
        <w:tab w:val="right" w:leader="dot" w:pos="9617"/>
      </w:tabs>
      <w:spacing w:after="100"/>
    </w:pPr>
  </w:style>
  <w:style w:type="paragraph" w:styleId="TOC5">
    <w:name w:val="toc 5"/>
    <w:aliases w:val="Proposal"/>
    <w:basedOn w:val="Normal"/>
    <w:next w:val="Normal"/>
    <w:autoRedefine/>
    <w:uiPriority w:val="39"/>
    <w:unhideWhenUsed/>
    <w:rsid w:val="00000989"/>
    <w:pPr>
      <w:tabs>
        <w:tab w:val="right" w:leader="dot" w:pos="9617"/>
      </w:tabs>
      <w:spacing w:after="100"/>
    </w:pPr>
    <w:rPr>
      <w:b/>
    </w:rPr>
  </w:style>
  <w:style w:type="table" w:customStyle="1" w:styleId="TableGrid1">
    <w:name w:val="Table Grid1"/>
    <w:basedOn w:val="TableNormal"/>
    <w:next w:val="TableGrid"/>
    <w:uiPriority w:val="39"/>
    <w:rsid w:val="00A546B9"/>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EB34E1"/>
    <w:rPr>
      <w:b/>
      <w:bCs/>
      <w:i/>
      <w:iCs/>
      <w:spacing w:val="5"/>
    </w:rPr>
  </w:style>
  <w:style w:type="character" w:styleId="Mention">
    <w:name w:val="Mention"/>
    <w:basedOn w:val="DefaultParagraphFont"/>
    <w:uiPriority w:val="99"/>
    <w:unhideWhenUsed/>
    <w:rsid w:val="00EB34E1"/>
    <w:rPr>
      <w:color w:val="2B579A"/>
      <w:shd w:val="clear" w:color="auto" w:fill="E1DFDD"/>
    </w:rPr>
  </w:style>
  <w:style w:type="paragraph" w:styleId="NoSpacing">
    <w:name w:val="No Spacing"/>
    <w:uiPriority w:val="1"/>
    <w:qFormat/>
    <w:rsid w:val="00361E3D"/>
    <w:pPr>
      <w:spacing w:after="0" w:line="240" w:lineRule="auto"/>
    </w:pPr>
    <w:rPr>
      <w:rFonts w:ascii="Times New Roman" w:hAnsi="Times New Roman"/>
      <w:sz w:val="20"/>
    </w:rPr>
  </w:style>
  <w:style w:type="paragraph" w:styleId="Header">
    <w:name w:val="header"/>
    <w:basedOn w:val="Normal"/>
    <w:link w:val="HeaderChar"/>
    <w:unhideWhenUsed/>
    <w:rsid w:val="00447140"/>
    <w:pPr>
      <w:tabs>
        <w:tab w:val="center" w:pos="4513"/>
        <w:tab w:val="right" w:pos="9026"/>
      </w:tabs>
      <w:spacing w:after="0" w:line="240" w:lineRule="auto"/>
    </w:pPr>
  </w:style>
  <w:style w:type="character" w:customStyle="1" w:styleId="HeaderChar">
    <w:name w:val="Header Char"/>
    <w:basedOn w:val="DefaultParagraphFont"/>
    <w:link w:val="Header"/>
    <w:rsid w:val="0014572F"/>
    <w:rPr>
      <w:rFonts w:ascii="Times New Roman" w:hAnsi="Times New Roman"/>
      <w:sz w:val="20"/>
    </w:rPr>
  </w:style>
  <w:style w:type="paragraph" w:styleId="Footer">
    <w:name w:val="footer"/>
    <w:basedOn w:val="Normal"/>
    <w:link w:val="FooterChar"/>
    <w:uiPriority w:val="99"/>
    <w:unhideWhenUsed/>
    <w:rsid w:val="004471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572F"/>
    <w:rPr>
      <w:rFonts w:ascii="Times New Roman" w:hAnsi="Times New Roman"/>
      <w:sz w:val="20"/>
    </w:rPr>
  </w:style>
  <w:style w:type="paragraph" w:styleId="NormalWeb">
    <w:name w:val="Normal (Web)"/>
    <w:basedOn w:val="Normal"/>
    <w:uiPriority w:val="99"/>
    <w:semiHidden/>
    <w:unhideWhenUsed/>
    <w:rsid w:val="00700A83"/>
    <w:pPr>
      <w:spacing w:before="100" w:beforeAutospacing="1" w:after="100" w:afterAutospacing="1" w:line="240" w:lineRule="auto"/>
      <w:jc w:val="left"/>
    </w:pPr>
    <w:rPr>
      <w:rFonts w:eastAsia="Times New Roman" w:cs="Times New Roman"/>
      <w:sz w:val="24"/>
      <w:szCs w:val="24"/>
    </w:rPr>
  </w:style>
  <w:style w:type="paragraph" w:styleId="Revision">
    <w:name w:val="Revision"/>
    <w:hidden/>
    <w:uiPriority w:val="99"/>
    <w:semiHidden/>
    <w:rsid w:val="00247387"/>
    <w:pPr>
      <w:spacing w:after="0" w:line="240" w:lineRule="auto"/>
    </w:pPr>
    <w:rPr>
      <w:rFonts w:ascii="Times New Roman" w:hAnsi="Times New Roman"/>
      <w:sz w:val="20"/>
    </w:rPr>
  </w:style>
  <w:style w:type="paragraph" w:customStyle="1" w:styleId="B1">
    <w:name w:val="B1"/>
    <w:basedOn w:val="List"/>
    <w:link w:val="B1Zchn"/>
    <w:qFormat/>
    <w:rsid w:val="00D67607"/>
    <w:pPr>
      <w:overflowPunct w:val="0"/>
      <w:autoSpaceDE w:val="0"/>
      <w:autoSpaceDN w:val="0"/>
      <w:adjustRightInd w:val="0"/>
      <w:spacing w:after="180" w:line="240" w:lineRule="auto"/>
      <w:ind w:left="568" w:hanging="284"/>
      <w:contextualSpacing w:val="0"/>
      <w:jc w:val="left"/>
      <w:textAlignment w:val="baseline"/>
    </w:pPr>
    <w:rPr>
      <w:rFonts w:eastAsia="Times New Roman" w:cs="Times New Roman"/>
      <w:szCs w:val="20"/>
      <w:lang w:val="en-GB" w:eastAsia="ja-JP"/>
    </w:rPr>
  </w:style>
  <w:style w:type="character" w:customStyle="1" w:styleId="B1Zchn">
    <w:name w:val="B1 Zchn"/>
    <w:link w:val="B1"/>
    <w:qFormat/>
    <w:rsid w:val="00D67607"/>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67607"/>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91834">
      <w:bodyDiv w:val="1"/>
      <w:marLeft w:val="0"/>
      <w:marRight w:val="0"/>
      <w:marTop w:val="0"/>
      <w:marBottom w:val="0"/>
      <w:divBdr>
        <w:top w:val="none" w:sz="0" w:space="0" w:color="auto"/>
        <w:left w:val="none" w:sz="0" w:space="0" w:color="auto"/>
        <w:bottom w:val="none" w:sz="0" w:space="0" w:color="auto"/>
        <w:right w:val="none" w:sz="0" w:space="0" w:color="auto"/>
      </w:divBdr>
    </w:div>
    <w:div w:id="826753221">
      <w:bodyDiv w:val="1"/>
      <w:marLeft w:val="0"/>
      <w:marRight w:val="0"/>
      <w:marTop w:val="0"/>
      <w:marBottom w:val="0"/>
      <w:divBdr>
        <w:top w:val="none" w:sz="0" w:space="0" w:color="auto"/>
        <w:left w:val="none" w:sz="0" w:space="0" w:color="auto"/>
        <w:bottom w:val="none" w:sz="0" w:space="0" w:color="auto"/>
        <w:right w:val="none" w:sz="0" w:space="0" w:color="auto"/>
      </w:divBdr>
    </w:div>
    <w:div w:id="890457422">
      <w:bodyDiv w:val="1"/>
      <w:marLeft w:val="0"/>
      <w:marRight w:val="0"/>
      <w:marTop w:val="0"/>
      <w:marBottom w:val="0"/>
      <w:divBdr>
        <w:top w:val="none" w:sz="0" w:space="0" w:color="auto"/>
        <w:left w:val="none" w:sz="0" w:space="0" w:color="auto"/>
        <w:bottom w:val="none" w:sz="0" w:space="0" w:color="auto"/>
        <w:right w:val="none" w:sz="0" w:space="0" w:color="auto"/>
      </w:divBdr>
    </w:div>
    <w:div w:id="1486050368">
      <w:bodyDiv w:val="1"/>
      <w:marLeft w:val="0"/>
      <w:marRight w:val="0"/>
      <w:marTop w:val="0"/>
      <w:marBottom w:val="0"/>
      <w:divBdr>
        <w:top w:val="none" w:sz="0" w:space="0" w:color="auto"/>
        <w:left w:val="none" w:sz="0" w:space="0" w:color="auto"/>
        <w:bottom w:val="none" w:sz="0" w:space="0" w:color="auto"/>
        <w:right w:val="none" w:sz="0" w:space="0" w:color="auto"/>
      </w:divBdr>
    </w:div>
    <w:div w:id="1696076640">
      <w:bodyDiv w:val="1"/>
      <w:marLeft w:val="0"/>
      <w:marRight w:val="0"/>
      <w:marTop w:val="0"/>
      <w:marBottom w:val="0"/>
      <w:divBdr>
        <w:top w:val="none" w:sz="0" w:space="0" w:color="auto"/>
        <w:left w:val="none" w:sz="0" w:space="0" w:color="auto"/>
        <w:bottom w:val="none" w:sz="0" w:space="0" w:color="auto"/>
        <w:right w:val="none" w:sz="0" w:space="0" w:color="auto"/>
      </w:divBdr>
    </w:div>
    <w:div w:id="1976446715">
      <w:bodyDiv w:val="1"/>
      <w:marLeft w:val="0"/>
      <w:marRight w:val="0"/>
      <w:marTop w:val="0"/>
      <w:marBottom w:val="0"/>
      <w:divBdr>
        <w:top w:val="none" w:sz="0" w:space="0" w:color="auto"/>
        <w:left w:val="none" w:sz="0" w:space="0" w:color="auto"/>
        <w:bottom w:val="none" w:sz="0" w:space="0" w:color="auto"/>
        <w:right w:val="none" w:sz="0" w:space="0" w:color="auto"/>
      </w:divBdr>
    </w:div>
    <w:div w:id="1996639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5AIRPNAIUNRU-1328258698-23418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https://nokia.sharepoint.com/sites/c5g/5gradio/_layouts/15/DocIdRedir.aspx?ID=5AIRPNAIUNRU-1328258698-23418</Url>
      <Description>5AIRPNAIUNRU-1328258698-23418</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0DF2934E-53BB-4EF8-86E8-766CA5A5BD69}">
  <ds:schemaRefs>
    <ds:schemaRef ds:uri="http://schemas.microsoft.com/sharepoint/events"/>
  </ds:schemaRefs>
</ds:datastoreItem>
</file>

<file path=customXml/itemProps2.xml><?xml version="1.0" encoding="utf-8"?>
<ds:datastoreItem xmlns:ds="http://schemas.openxmlformats.org/officeDocument/2006/customXml" ds:itemID="{53AEE05B-0115-4578-9D06-6596065C8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195794-22C9-4447-B6D4-68CDF45DDF03}">
  <ds:schemaRefs>
    <ds:schemaRef ds:uri="Microsoft.SharePoint.Taxonomy.ContentTypeSync"/>
  </ds:schemaRefs>
</ds:datastoreItem>
</file>

<file path=customXml/itemProps4.xml><?xml version="1.0" encoding="utf-8"?>
<ds:datastoreItem xmlns:ds="http://schemas.openxmlformats.org/officeDocument/2006/customXml" ds:itemID="{65335E00-F33E-4704-8B7B-6B37ED13EA7C}">
  <ds:schemaRefs>
    <ds:schemaRef ds:uri="http://schemas.microsoft.com/sharepoint/v3/contenttype/forms"/>
  </ds:schemaRefs>
</ds:datastoreItem>
</file>

<file path=customXml/itemProps5.xml><?xml version="1.0" encoding="utf-8"?>
<ds:datastoreItem xmlns:ds="http://schemas.openxmlformats.org/officeDocument/2006/customXml" ds:itemID="{D349F102-2FC8-4876-8188-D74D9857661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1674</Words>
  <Characters>9544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11196</CharactersWithSpaces>
  <SharedDoc>false</SharedDoc>
  <HLinks>
    <vt:vector size="84" baseType="variant">
      <vt:variant>
        <vt:i4>1376308</vt:i4>
      </vt:variant>
      <vt:variant>
        <vt:i4>53</vt:i4>
      </vt:variant>
      <vt:variant>
        <vt:i4>0</vt:i4>
      </vt:variant>
      <vt:variant>
        <vt:i4>5</vt:i4>
      </vt:variant>
      <vt:variant>
        <vt:lpwstr/>
      </vt:variant>
      <vt:variant>
        <vt:lpwstr>_Toc134722342</vt:lpwstr>
      </vt:variant>
      <vt:variant>
        <vt:i4>1376308</vt:i4>
      </vt:variant>
      <vt:variant>
        <vt:i4>50</vt:i4>
      </vt:variant>
      <vt:variant>
        <vt:i4>0</vt:i4>
      </vt:variant>
      <vt:variant>
        <vt:i4>5</vt:i4>
      </vt:variant>
      <vt:variant>
        <vt:lpwstr/>
      </vt:variant>
      <vt:variant>
        <vt:lpwstr>_Toc134722341</vt:lpwstr>
      </vt:variant>
      <vt:variant>
        <vt:i4>1376308</vt:i4>
      </vt:variant>
      <vt:variant>
        <vt:i4>47</vt:i4>
      </vt:variant>
      <vt:variant>
        <vt:i4>0</vt:i4>
      </vt:variant>
      <vt:variant>
        <vt:i4>5</vt:i4>
      </vt:variant>
      <vt:variant>
        <vt:lpwstr/>
      </vt:variant>
      <vt:variant>
        <vt:lpwstr>_Toc134722340</vt:lpwstr>
      </vt:variant>
      <vt:variant>
        <vt:i4>1179700</vt:i4>
      </vt:variant>
      <vt:variant>
        <vt:i4>44</vt:i4>
      </vt:variant>
      <vt:variant>
        <vt:i4>0</vt:i4>
      </vt:variant>
      <vt:variant>
        <vt:i4>5</vt:i4>
      </vt:variant>
      <vt:variant>
        <vt:lpwstr/>
      </vt:variant>
      <vt:variant>
        <vt:lpwstr>_Toc134722339</vt:lpwstr>
      </vt:variant>
      <vt:variant>
        <vt:i4>1179700</vt:i4>
      </vt:variant>
      <vt:variant>
        <vt:i4>41</vt:i4>
      </vt:variant>
      <vt:variant>
        <vt:i4>0</vt:i4>
      </vt:variant>
      <vt:variant>
        <vt:i4>5</vt:i4>
      </vt:variant>
      <vt:variant>
        <vt:lpwstr/>
      </vt:variant>
      <vt:variant>
        <vt:lpwstr>_Toc134722338</vt:lpwstr>
      </vt:variant>
      <vt:variant>
        <vt:i4>1179700</vt:i4>
      </vt:variant>
      <vt:variant>
        <vt:i4>38</vt:i4>
      </vt:variant>
      <vt:variant>
        <vt:i4>0</vt:i4>
      </vt:variant>
      <vt:variant>
        <vt:i4>5</vt:i4>
      </vt:variant>
      <vt:variant>
        <vt:lpwstr/>
      </vt:variant>
      <vt:variant>
        <vt:lpwstr>_Toc134722337</vt:lpwstr>
      </vt:variant>
      <vt:variant>
        <vt:i4>1179700</vt:i4>
      </vt:variant>
      <vt:variant>
        <vt:i4>35</vt:i4>
      </vt:variant>
      <vt:variant>
        <vt:i4>0</vt:i4>
      </vt:variant>
      <vt:variant>
        <vt:i4>5</vt:i4>
      </vt:variant>
      <vt:variant>
        <vt:lpwstr/>
      </vt:variant>
      <vt:variant>
        <vt:lpwstr>_Toc134722336</vt:lpwstr>
      </vt:variant>
      <vt:variant>
        <vt:i4>1179700</vt:i4>
      </vt:variant>
      <vt:variant>
        <vt:i4>32</vt:i4>
      </vt:variant>
      <vt:variant>
        <vt:i4>0</vt:i4>
      </vt:variant>
      <vt:variant>
        <vt:i4>5</vt:i4>
      </vt:variant>
      <vt:variant>
        <vt:lpwstr/>
      </vt:variant>
      <vt:variant>
        <vt:lpwstr>_Toc134722335</vt:lpwstr>
      </vt:variant>
      <vt:variant>
        <vt:i4>1179700</vt:i4>
      </vt:variant>
      <vt:variant>
        <vt:i4>29</vt:i4>
      </vt:variant>
      <vt:variant>
        <vt:i4>0</vt:i4>
      </vt:variant>
      <vt:variant>
        <vt:i4>5</vt:i4>
      </vt:variant>
      <vt:variant>
        <vt:lpwstr/>
      </vt:variant>
      <vt:variant>
        <vt:lpwstr>_Toc134722334</vt:lpwstr>
      </vt:variant>
      <vt:variant>
        <vt:i4>1179700</vt:i4>
      </vt:variant>
      <vt:variant>
        <vt:i4>26</vt:i4>
      </vt:variant>
      <vt:variant>
        <vt:i4>0</vt:i4>
      </vt:variant>
      <vt:variant>
        <vt:i4>5</vt:i4>
      </vt:variant>
      <vt:variant>
        <vt:lpwstr/>
      </vt:variant>
      <vt:variant>
        <vt:lpwstr>_Toc134722333</vt:lpwstr>
      </vt:variant>
      <vt:variant>
        <vt:i4>1179700</vt:i4>
      </vt:variant>
      <vt:variant>
        <vt:i4>23</vt:i4>
      </vt:variant>
      <vt:variant>
        <vt:i4>0</vt:i4>
      </vt:variant>
      <vt:variant>
        <vt:i4>5</vt:i4>
      </vt:variant>
      <vt:variant>
        <vt:lpwstr/>
      </vt:variant>
      <vt:variant>
        <vt:lpwstr>_Toc134722332</vt:lpwstr>
      </vt:variant>
      <vt:variant>
        <vt:i4>1179700</vt:i4>
      </vt:variant>
      <vt:variant>
        <vt:i4>20</vt:i4>
      </vt:variant>
      <vt:variant>
        <vt:i4>0</vt:i4>
      </vt:variant>
      <vt:variant>
        <vt:i4>5</vt:i4>
      </vt:variant>
      <vt:variant>
        <vt:lpwstr/>
      </vt:variant>
      <vt:variant>
        <vt:lpwstr>_Toc134722331</vt:lpwstr>
      </vt:variant>
      <vt:variant>
        <vt:i4>1179700</vt:i4>
      </vt:variant>
      <vt:variant>
        <vt:i4>17</vt:i4>
      </vt:variant>
      <vt:variant>
        <vt:i4>0</vt:i4>
      </vt:variant>
      <vt:variant>
        <vt:i4>5</vt:i4>
      </vt:variant>
      <vt:variant>
        <vt:lpwstr/>
      </vt:variant>
      <vt:variant>
        <vt:lpwstr>_Toc134722330</vt:lpwstr>
      </vt:variant>
      <vt:variant>
        <vt:i4>1245236</vt:i4>
      </vt:variant>
      <vt:variant>
        <vt:i4>14</vt:i4>
      </vt:variant>
      <vt:variant>
        <vt:i4>0</vt:i4>
      </vt:variant>
      <vt:variant>
        <vt:i4>5</vt:i4>
      </vt:variant>
      <vt:variant>
        <vt:lpwstr/>
      </vt:variant>
      <vt:variant>
        <vt:lpwstr>_Toc134722329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2023-04-07T15:19:00Z</dcterms:created>
  <dcterms:modified xsi:type="dcterms:W3CDTF">2023-05-15T17:47:00Z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11946220-db15-48c8-9953-87ecbb2cd158</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y fmtid="{D5CDD505-2E9C-101B-9397-08002B2CF9AE}" pid="12" name="Order">
    <vt:r8>2267200</vt:r8>
  </property>
  <property fmtid="{D5CDD505-2E9C-101B-9397-08002B2CF9AE}" pid="13" name="xd_ProgID">
    <vt:lpwstr/>
  </property>
  <property fmtid="{D5CDD505-2E9C-101B-9397-08002B2CF9AE}" pid="14" name="TemplateUrl">
    <vt:lpwstr/>
  </property>
  <property fmtid="{D5CDD505-2E9C-101B-9397-08002B2CF9AE}" pid="15" name="_ExtendedDescription">
    <vt:lpwstr/>
  </property>
  <property fmtid="{D5CDD505-2E9C-101B-9397-08002B2CF9AE}" pid="16" name="_CopySource">
    <vt:lpwstr>https://nokia.sharepoint.com/sites/c5g/5gradio/RAN4 5G Documents/RAN4 107 Incheon/Rel-18/NR_FR2_multiRx_DL/Contributions/R4-2307130 On MultiRx RLM and BFD requirements.docx</vt:lpwstr>
  </property>
</Properties>
</file>